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CA32E4" w:rsidRPr="00466F14" w14:paraId="2FAC02C6" w14:textId="77777777" w:rsidTr="00CA32E4">
        <w:trPr>
          <w:trHeight w:val="308"/>
        </w:trPr>
        <w:tc>
          <w:tcPr>
            <w:tcW w:w="9781" w:type="dxa"/>
            <w:shd w:val="clear" w:color="auto" w:fill="FFFFFF"/>
          </w:tcPr>
          <w:p w14:paraId="1038A909" w14:textId="77777777" w:rsidR="00CA32E4" w:rsidRDefault="00667CD1" w:rsidP="00CA32E4">
            <w:pPr>
              <w:spacing w:before="120" w:after="120"/>
              <w:jc w:val="both"/>
              <w:rPr>
                <w:rFonts w:cs="Calibri"/>
              </w:rPr>
            </w:pPr>
            <w:r w:rsidRPr="00466F14">
              <w:rPr>
                <w:rFonts w:cs="Calibri"/>
              </w:rPr>
              <w:t>Z</w:t>
            </w:r>
            <w:r w:rsidR="00CA32E4" w:rsidRPr="00466F14">
              <w:rPr>
                <w:rFonts w:cs="Calibri"/>
              </w:rPr>
              <w:t> pohľadu posúdenia ekonomickej výkonnosti</w:t>
            </w:r>
            <w:r w:rsidR="000E69F3" w:rsidRPr="00466F14">
              <w:rPr>
                <w:rFonts w:cs="Calibri"/>
              </w:rPr>
              <w:t xml:space="preserve"> a udržateľnosti</w:t>
            </w:r>
            <w:r w:rsidR="00CA32E4" w:rsidRPr="00466F14">
              <w:rPr>
                <w:rFonts w:cs="Calibri"/>
              </w:rPr>
              <w:t xml:space="preserve"> investície</w:t>
            </w:r>
            <w:r w:rsidRPr="00466F14">
              <w:rPr>
                <w:rFonts w:cs="Calibri"/>
              </w:rPr>
              <w:t>, ktorú predstavuje projekt, je potrebné</w:t>
            </w:r>
            <w:r w:rsidR="00CA32E4" w:rsidRPr="00466F14">
              <w:rPr>
                <w:rFonts w:cs="Calibri"/>
              </w:rPr>
              <w:t xml:space="preserve"> zostaviť finančnú analýzu, ktorá by mala preukázať, že investícia je pre žiadateľa prínosom a bude zabezpečovať finančnú udržateľnosť realizovaného </w:t>
            </w:r>
            <w:r w:rsidRPr="00466F14">
              <w:rPr>
                <w:rFonts w:cs="Calibri"/>
              </w:rPr>
              <w:t>projektu.</w:t>
            </w:r>
          </w:p>
          <w:p w14:paraId="68B9818E" w14:textId="77777777" w:rsidR="00CA32E4" w:rsidRPr="00466F14" w:rsidRDefault="000E69F3" w:rsidP="000204B6">
            <w:pPr>
              <w:spacing w:before="60" w:after="60"/>
              <w:jc w:val="both"/>
              <w:rPr>
                <w:rFonts w:cs="Calibri"/>
                <w:b/>
              </w:rPr>
            </w:pPr>
            <w:r w:rsidRPr="000204B6">
              <w:rPr>
                <w:rFonts w:cs="Calibri"/>
                <w:b/>
                <w:bCs/>
                <w:sz w:val="20"/>
                <w:szCs w:val="20"/>
              </w:rPr>
              <w:t>Náležitosti analýzy</w:t>
            </w:r>
          </w:p>
        </w:tc>
      </w:tr>
      <w:tr w:rsidR="00CA32E4" w:rsidRPr="00466F14" w14:paraId="24F15574" w14:textId="77777777" w:rsidTr="00A93ACE">
        <w:trPr>
          <w:trHeight w:val="2685"/>
        </w:trPr>
        <w:tc>
          <w:tcPr>
            <w:tcW w:w="9781" w:type="dxa"/>
          </w:tcPr>
          <w:p w14:paraId="74F325C4" w14:textId="77777777" w:rsidR="00CA32E4" w:rsidRPr="000204B6" w:rsidRDefault="00CA32E4" w:rsidP="000204B6">
            <w:pPr>
              <w:spacing w:before="60" w:after="60"/>
              <w:jc w:val="both"/>
              <w:rPr>
                <w:rFonts w:cs="Calibri"/>
                <w:bCs/>
              </w:rPr>
            </w:pPr>
            <w:r w:rsidRPr="000204B6">
              <w:rPr>
                <w:rFonts w:cs="Calibri"/>
                <w:bCs/>
              </w:rPr>
              <w:t>Pre výpočet je potrebné reálne odhadnúť výšku výnosov, ktoré vytvorí investícia (napr. zvýšením objemu ponúkaných výrobkov, resp. zavedením nových výrobkov na trh</w:t>
            </w:r>
            <w:r w:rsidR="004215E6" w:rsidRPr="000204B6">
              <w:rPr>
                <w:rFonts w:cs="Calibri"/>
                <w:bCs/>
              </w:rPr>
              <w:t>, spoplatnením niektorých služieb a</w:t>
            </w:r>
            <w:r w:rsidR="004215E6" w:rsidRPr="004B2702">
              <w:rPr>
                <w:rFonts w:cs="Calibri"/>
                <w:bCs/>
              </w:rPr>
              <w:t> </w:t>
            </w:r>
            <w:r w:rsidR="004215E6" w:rsidRPr="000204B6">
              <w:rPr>
                <w:rFonts w:cs="Calibri"/>
                <w:bCs/>
              </w:rPr>
              <w:t>pod.</w:t>
            </w:r>
            <w:r w:rsidRPr="000204B6">
              <w:rPr>
                <w:rFonts w:cs="Calibri"/>
                <w:bCs/>
              </w:rPr>
              <w:t>) a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tiež výšku nákladov, ktoré nevyhnutne s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investíciou súvisia.</w:t>
            </w:r>
          </w:p>
          <w:p w14:paraId="2EFCC71E" w14:textId="77777777" w:rsidR="00CA32E4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 xml:space="preserve">Analýza sa vypracováva na dobu ekonomickej životnosti investície </w:t>
            </w:r>
            <w:r w:rsidR="00CA32E4" w:rsidRPr="004B2702">
              <w:rPr>
                <w:rFonts w:cs="Calibri"/>
              </w:rPr>
              <w:t>(majetku, ktorý je predmetom projektu)</w:t>
            </w:r>
            <w:r w:rsidRPr="004B2702">
              <w:rPr>
                <w:rFonts w:cs="Calibri"/>
              </w:rPr>
              <w:t>. Doba ekonomickej životnosti</w:t>
            </w:r>
            <w:r w:rsidR="00CA32E4" w:rsidRPr="004B2702">
              <w:rPr>
                <w:rFonts w:cs="Calibri"/>
              </w:rPr>
              <w:t xml:space="preserve"> je na účely finančnej analýzy stanovená na úrovni rokov, príp. ich podielov, počas ktorých bude prostredníctvom daňových odpisov daná investícia odpisovaná podľa zaradenia do príslušnej odpisovej triedy.</w:t>
            </w:r>
          </w:p>
          <w:p w14:paraId="326F8791" w14:textId="77777777" w:rsidR="000E69F3" w:rsidRPr="004B2702" w:rsidRDefault="000E69F3" w:rsidP="000204B6">
            <w:pPr>
              <w:spacing w:before="60" w:after="60"/>
              <w:jc w:val="both"/>
              <w:rPr>
                <w:rFonts w:cs="Calibri"/>
              </w:rPr>
            </w:pPr>
            <w:r w:rsidRPr="000204B6">
              <w:rPr>
                <w:rFonts w:cs="Calibri"/>
                <w:bCs/>
              </w:rPr>
              <w:t>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analýze sa zohľadňuje časová hodnota peňazí prostredníctvom diskontovan</w:t>
            </w:r>
            <w:r w:rsidR="004215E6">
              <w:rPr>
                <w:rFonts w:cs="Calibri"/>
                <w:bCs/>
              </w:rPr>
              <w:t>ia</w:t>
            </w:r>
            <w:r w:rsidRPr="000204B6">
              <w:rPr>
                <w:rFonts w:cs="Calibri"/>
                <w:bCs/>
              </w:rPr>
              <w:t xml:space="preserve"> hodnôt. Pri diskontovaní sa používa tzv. diskontná sadzba. Pre účely výpočtu je v</w:t>
            </w:r>
            <w:r w:rsidRPr="004B2702">
              <w:rPr>
                <w:rFonts w:cs="Calibri"/>
                <w:bCs/>
              </w:rPr>
              <w:t> </w:t>
            </w:r>
            <w:r w:rsidRPr="000204B6">
              <w:rPr>
                <w:rFonts w:cs="Calibri"/>
                <w:bCs/>
              </w:rPr>
              <w:t>záväznom formulári finančnej analýzy, prednastavená diskontná sadzba vo výške 4 %, ktorú žiadateľ nemôže zmeniť.</w:t>
            </w:r>
          </w:p>
          <w:p w14:paraId="7BB08BF5" w14:textId="77777777" w:rsidR="00CA32E4" w:rsidRPr="00466F14" w:rsidRDefault="00CA32E4" w:rsidP="00CA32E4">
            <w:pPr>
              <w:spacing w:before="120" w:after="120"/>
              <w:jc w:val="both"/>
              <w:rPr>
                <w:rFonts w:cs="Calibri"/>
                <w:b/>
              </w:rPr>
            </w:pPr>
            <w:r w:rsidRPr="00466F14">
              <w:rPr>
                <w:rFonts w:cs="Calibri"/>
                <w:b/>
              </w:rPr>
              <w:t>Všetky údaje potrebné pre výpočet výsledku finančnej analýzy projektu sa uvádzajú len za projekt (nie za žiadateľa).</w:t>
            </w:r>
            <w:r w:rsidR="004215E6">
              <w:rPr>
                <w:rFonts w:cs="Calibri"/>
                <w:b/>
              </w:rPr>
              <w:t xml:space="preserve"> Uvádzajú sa náklady a výnosy priamo súvisiace s projektom, t.j. také, ktoré by bez realizácie projektu nevznikali.</w:t>
            </w:r>
          </w:p>
          <w:p w14:paraId="3EF61E61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Všeobecné pokyny k vyplneniu tabuľky finančnej analýzy:</w:t>
            </w:r>
          </w:p>
          <w:p w14:paraId="02F84A21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Finančná analýza je pripravená v MS Excel a výsledok finančnej analýzy je počítaný automaticky na základe údajov, ktoré zadáva žiadateľ do príslušných častí finančnej analýzy.</w:t>
            </w:r>
          </w:p>
          <w:p w14:paraId="0A409421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Pre prehľadnosť sú jednotlivé časti finančnej analýzy farebne rozlíšené nasledovne:</w:t>
            </w:r>
          </w:p>
          <w:tbl>
            <w:tblPr>
              <w:tblW w:w="7255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30"/>
              <w:gridCol w:w="5625"/>
            </w:tblGrid>
            <w:tr w:rsidR="00CA32E4" w:rsidRPr="00466F14" w14:paraId="5F2CE77A" w14:textId="77777777" w:rsidTr="00A93ACE">
              <w:trPr>
                <w:trHeight w:val="218"/>
              </w:trPr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7F7C0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37C6C2D3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vypĺňa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žiadateľ</w:t>
                  </w:r>
                  <w:r w:rsidRPr="00466F14">
                    <w:rPr>
                      <w:rFonts w:cs="Calibri"/>
                      <w:color w:val="000000"/>
                    </w:rPr>
                    <w:t xml:space="preserve"> </w:t>
                  </w:r>
                </w:p>
              </w:tc>
            </w:tr>
            <w:tr w:rsidR="00CA32E4" w:rsidRPr="00466F14" w14:paraId="30885A41" w14:textId="77777777" w:rsidTr="00A93ACE">
              <w:trPr>
                <w:trHeight w:val="248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FF"/>
                  <w:noWrap/>
                  <w:vAlign w:val="bottom"/>
                  <w:hideMark/>
                </w:tcPr>
                <w:p w14:paraId="58B9107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4EB929E0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 xml:space="preserve">sa počítajú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  <w:tr w:rsidR="00CA32E4" w:rsidRPr="00466F14" w14:paraId="32C8BFEC" w14:textId="77777777" w:rsidTr="00A93ACE">
              <w:trPr>
                <w:trHeight w:val="280"/>
              </w:trPr>
              <w:tc>
                <w:tcPr>
                  <w:tcW w:w="16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9FB4E5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5625" w:type="dxa"/>
                  <w:noWrap/>
                  <w:vAlign w:val="bottom"/>
                  <w:hideMark/>
                </w:tcPr>
                <w:p w14:paraId="38F89068" w14:textId="77777777" w:rsidR="00CA32E4" w:rsidRPr="00466F14" w:rsidRDefault="00CA32E4" w:rsidP="00A93ACE">
                  <w:pPr>
                    <w:rPr>
                      <w:rFonts w:cs="Calibri"/>
                      <w:color w:val="000000"/>
                    </w:rPr>
                  </w:pPr>
                  <w:r w:rsidRPr="00466F14">
                    <w:rPr>
                      <w:rFonts w:cs="Calibri"/>
                      <w:b/>
                      <w:color w:val="000000"/>
                    </w:rPr>
                    <w:t>výsledok</w:t>
                  </w:r>
                  <w:r w:rsidRPr="00466F14">
                    <w:rPr>
                      <w:rFonts w:cs="Calibri"/>
                      <w:color w:val="000000"/>
                    </w:rPr>
                    <w:t xml:space="preserve">, počíta sa </w:t>
                  </w:r>
                  <w:r w:rsidRPr="00466F14">
                    <w:rPr>
                      <w:rFonts w:cs="Calibri"/>
                      <w:b/>
                      <w:color w:val="000000"/>
                    </w:rPr>
                    <w:t>automaticky</w:t>
                  </w:r>
                </w:p>
              </w:tc>
            </w:tr>
          </w:tbl>
          <w:p w14:paraId="5A7787EA" w14:textId="77777777" w:rsidR="00CA32E4" w:rsidRPr="00466F14" w:rsidRDefault="00CA32E4" w:rsidP="00CA32E4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V prvom kroku žiadateľ vyplní rok, v ktorom sa projekt má začať realizovať, a to v súlade s plánovaným začiatkom realizácie projektu, ktorý uviedol vo formulári ŽoPr. Rok začiatku realizácie projektu vyplní do bunky </w:t>
            </w:r>
            <w:r w:rsidR="000E69F3" w:rsidRPr="00466F14">
              <w:rPr>
                <w:rFonts w:cs="Calibri"/>
                <w:color w:val="000000"/>
                <w:lang w:eastAsia="x-none"/>
              </w:rPr>
              <w:t>C12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. Následne zvolí sadzbu dane z príjmov príslušnú pre žiadateľa (19% - fyzické osoby, resp. 21% - právnické osoby) v zmysle zákona o dani z príjmov. Formulár finančnej analýzy umožňuje žiadateľovi zvoliť iba jednu sadzbu dane. </w:t>
            </w:r>
            <w:r w:rsidRPr="00466F14">
              <w:rPr>
                <w:rFonts w:cs="Calibri"/>
                <w:lang w:eastAsia="x-none"/>
              </w:rPr>
              <w:t>Do tabuľky vypĺňa žiadateľ údaje na základe odborného odhadu (výnosy a náklady) a v súlade s podrobným rozpočtom projektu (investičné náklady) a vypĺňa údaje iba do polí tých príslušných rokov, ktoré predstavujú ekonomickú životnosť obstarávanej investície.</w:t>
            </w:r>
          </w:p>
          <w:p w14:paraId="36A60B47" w14:textId="77777777" w:rsidR="00CA32E4" w:rsidRPr="00466F14" w:rsidRDefault="00CA32E4" w:rsidP="00A93ACE">
            <w:pPr>
              <w:tabs>
                <w:tab w:val="left" w:pos="1260"/>
              </w:tabs>
              <w:spacing w:before="120" w:after="120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Výpočet výšky </w:t>
            </w:r>
            <w:r w:rsidR="00E71F44">
              <w:rPr>
                <w:rFonts w:cs="Calibri"/>
                <w:b/>
                <w:lang w:eastAsia="x-none"/>
              </w:rPr>
              <w:t xml:space="preserve">Čistej súčasnej hodnoty - </w:t>
            </w:r>
            <w:r w:rsidRPr="00466F14">
              <w:rPr>
                <w:rFonts w:cs="Calibri"/>
                <w:b/>
                <w:lang w:eastAsia="x-none"/>
              </w:rPr>
              <w:t>ČSH</w:t>
            </w:r>
          </w:p>
          <w:p w14:paraId="1B0B7285" w14:textId="77777777" w:rsidR="00E71F44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ČSH predstavuje rozdiel medzi súčasnou hodnotou CASH-FLOW a súčasnou hodnotou investičných nákladov. Vyčísluje sa v hodnotách EUR. Pokiaľ je väčšia ako 0 EUR je projekt ako investícia zisková.</w:t>
            </w:r>
          </w:p>
          <w:p w14:paraId="213515FC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lastRenderedPageBreak/>
              <w:t xml:space="preserve">Za účelom správneho posúdenia </w:t>
            </w:r>
            <w:r w:rsidR="00081803" w:rsidRPr="00466F14">
              <w:rPr>
                <w:rFonts w:cs="Calibri"/>
                <w:color w:val="000000"/>
                <w:lang w:eastAsia="x-none"/>
              </w:rPr>
              <w:t>je potrebné zistiť hodnoty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za celé obdobie ekonomickej životnosti kumulatívne.</w:t>
            </w:r>
          </w:p>
          <w:p w14:paraId="0C992AD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miery výnosovosti</w:t>
            </w:r>
          </w:p>
          <w:p w14:paraId="6B0CEF63" w14:textId="77777777" w:rsidR="00CA32E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 xml:space="preserve">Miera výnosovosti sa počíta v percentách a uvádza, o koľko prevýšil čistý CASH-FLOW projektu samotnú hodnotu investície. 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Miera</w:t>
            </w:r>
            <w:r w:rsidR="00972BD8" w:rsidRPr="00466F14">
              <w:rPr>
                <w:rFonts w:cs="Calibri"/>
                <w:b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b/>
                <w:color w:val="000000"/>
                <w:lang w:eastAsia="x-none"/>
              </w:rPr>
              <w:t>výnosovosti by mala byť rovná alebo vyššia ako 1 (100%).</w:t>
            </w:r>
          </w:p>
          <w:p w14:paraId="6A48AA24" w14:textId="77777777" w:rsidR="00E71F44" w:rsidRPr="00466F14" w:rsidRDefault="00E71F44" w:rsidP="00E71F44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Za účelom správneho posúdenia miery výnosovosti je potrebné zistiť hodnotu za celé obdobie ekonomickej životnosti kumulatívne.</w:t>
            </w:r>
          </w:p>
          <w:p w14:paraId="00B4069E" w14:textId="77777777" w:rsidR="004B2702" w:rsidRDefault="00E71F4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>
              <w:rPr>
                <w:rFonts w:cs="Calibri"/>
                <w:b/>
                <w:color w:val="000000"/>
                <w:lang w:eastAsia="x-none"/>
              </w:rPr>
              <w:t>Finančná udržateľnosť prevádzky</w:t>
            </w:r>
          </w:p>
          <w:p w14:paraId="156E7F38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Projekt považuje za udržateľný, pokiaľ projekt vygeneruje aspoň toľko príjmov, že pokryje bežné prevádzkové výdavky činnosti súvisiace s prevádzkou projektu. Tento údaj sa nachádza na riadku č. 33 finančnej analýzy označený ako „súčasná hodnota CASH-FLOW KUMULATÍVNE“.</w:t>
            </w:r>
          </w:p>
          <w:p w14:paraId="4B133414" w14:textId="77777777" w:rsidR="00E71F44" w:rsidRPr="00FB078D" w:rsidRDefault="00E71F44" w:rsidP="00E71F44">
            <w:pPr>
              <w:spacing w:before="120" w:after="120"/>
              <w:jc w:val="both"/>
              <w:rPr>
                <w:rFonts w:cs="Calibri"/>
              </w:rPr>
            </w:pPr>
            <w:r w:rsidRPr="00FB078D">
              <w:rPr>
                <w:rFonts w:cs="Calibri"/>
              </w:rPr>
              <w:t>Pokiaľ projekt generuje kladné hodnoty kumulatívneho CASH-FLOW (s výnimkou prvého roku, kedy je z dôvodu rozbehu investície prípustná aj záporná hodnota), považuje sa projekt za udržateľný.</w:t>
            </w:r>
          </w:p>
          <w:p w14:paraId="3AC1B31A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Výpočet nákladov</w:t>
            </w:r>
          </w:p>
          <w:p w14:paraId="3400C7B6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V súvislosti s realizáciou projekt vznikajú žiadateľovi/prijímateľovi viaceré typy nákladov, ktoré sa delia podľa oprávnenosti a typu:</w:t>
            </w:r>
          </w:p>
          <w:p w14:paraId="1CFA4DB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oprávnenosti:</w:t>
            </w:r>
          </w:p>
          <w:p w14:paraId="4984FD1D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oprávnené,</w:t>
            </w:r>
          </w:p>
          <w:p w14:paraId="0DEF16E2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neoprávnené.</w:t>
            </w:r>
          </w:p>
          <w:p w14:paraId="284D8B4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Delenie podľa typu:</w:t>
            </w:r>
          </w:p>
          <w:p w14:paraId="41E619C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investičné,</w:t>
            </w:r>
          </w:p>
          <w:p w14:paraId="3378F84F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- prevádzkové.</w:t>
            </w:r>
          </w:p>
          <w:p w14:paraId="42DACDEF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Keďže do projektu vstupujú všetky náklady a analýza v zmysle tejto finančnej analýzy nerobí rozdiel medzi oprávnenými a neoprávnenými nákladmi, je potrebné do analýzy zahrnúť aj oprávnené aj neoprávnené náklady. Do analýzy vstupujú všetky investičné náklady, nielen tie, ktoré vznikajú počas doby realizácie projektu v zmysle ŽoP</w:t>
            </w:r>
            <w:r w:rsidR="00972BD8" w:rsidRPr="00466F14">
              <w:rPr>
                <w:rFonts w:cs="Calibri"/>
                <w:color w:val="000000"/>
                <w:lang w:eastAsia="x-none"/>
              </w:rPr>
              <w:t>r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/zmluvy o poskytnutí </w:t>
            </w:r>
            <w:r w:rsidR="00972BD8" w:rsidRPr="00466F14">
              <w:rPr>
                <w:rFonts w:cs="Calibri"/>
                <w:color w:val="000000"/>
                <w:lang w:eastAsia="x-none"/>
              </w:rPr>
              <w:t>príspevku</w:t>
            </w:r>
            <w:r w:rsidRPr="00466F14">
              <w:rPr>
                <w:rFonts w:cs="Calibri"/>
                <w:color w:val="000000"/>
                <w:lang w:eastAsia="x-none"/>
              </w:rPr>
              <w:t>, ale počas celého sledovaného obdobia (napr.</w:t>
            </w:r>
            <w:r w:rsidR="00972BD8" w:rsidRPr="00466F14">
              <w:rPr>
                <w:rFonts w:cs="Calibri"/>
                <w:color w:val="000000"/>
                <w:lang w:eastAsia="x-none"/>
              </w:rPr>
              <w:t> </w:t>
            </w:r>
            <w:r w:rsidRPr="00466F14">
              <w:rPr>
                <w:rFonts w:cs="Calibri"/>
                <w:color w:val="000000"/>
                <w:lang w:eastAsia="x-none"/>
              </w:rPr>
              <w:t>investičné výdavky vyvolané prvotnou investíciou a pod.).</w:t>
            </w:r>
          </w:p>
          <w:p w14:paraId="5F1B1E7E" w14:textId="77777777" w:rsidR="00CA32E4" w:rsidRPr="00466F14" w:rsidRDefault="004215E6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>
              <w:rPr>
                <w:rFonts w:cs="Calibri"/>
                <w:color w:val="000000"/>
                <w:lang w:eastAsia="x-none"/>
              </w:rPr>
              <w:t>V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 prípade žiadateľa, ktorý nie je platcom DPH, vstupuje do </w:t>
            </w:r>
            <w:r>
              <w:rPr>
                <w:rFonts w:cs="Calibri"/>
                <w:color w:val="000000"/>
                <w:lang w:eastAsia="x-none"/>
              </w:rPr>
              <w:t>finančnej analýzy položka vrátane hodntoy DPH</w:t>
            </w:r>
            <w:r w:rsidR="00CA32E4" w:rsidRPr="00466F14">
              <w:rPr>
                <w:rFonts w:cs="Calibri"/>
                <w:color w:val="000000"/>
                <w:lang w:eastAsia="x-none"/>
              </w:rPr>
              <w:t xml:space="preserve">. V prípade platcu DPH sa </w:t>
            </w:r>
            <w:r>
              <w:rPr>
                <w:rFonts w:cs="Calibri"/>
                <w:color w:val="000000"/>
                <w:lang w:eastAsia="x-none"/>
              </w:rPr>
              <w:t>DPH v analýzy nezohľadňuje (položky sa uvádzajú v hodnote bez DPH)</w:t>
            </w:r>
            <w:r w:rsidR="00CA32E4" w:rsidRPr="00466F14">
              <w:rPr>
                <w:rFonts w:cs="Calibri"/>
                <w:color w:val="000000"/>
                <w:lang w:eastAsia="x-none"/>
              </w:rPr>
              <w:t>.</w:t>
            </w:r>
          </w:p>
          <w:p w14:paraId="2E6DAB5B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lang w:eastAsia="x-none"/>
              </w:rPr>
            </w:pPr>
            <w:r w:rsidRPr="00466F14">
              <w:rPr>
                <w:rFonts w:cs="Calibri"/>
                <w:lang w:eastAsia="x-none"/>
              </w:rPr>
              <w:lastRenderedPageBreak/>
              <w:t>Žiadateľ vo finančnej analýze nezohľadňuje nárast cien v dôsledku inflácie. Všetky vstupné údaje (ako napr. výška miezd, ceny materiálu, energií, výstupov projektu) uvádza žiadateľ v stálych cenách. Údaje sa uvádzajú v tisícoch EUR zaokrúhlené na jedno desatinné miesto matematicky.</w:t>
            </w:r>
          </w:p>
          <w:p w14:paraId="405384E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I. Investičné náklady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(uvádza sa celková obstarávacia cena majetku)</w:t>
            </w:r>
          </w:p>
          <w:tbl>
            <w:tblPr>
              <w:tblW w:w="944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7289"/>
              <w:gridCol w:w="349"/>
              <w:gridCol w:w="349"/>
              <w:gridCol w:w="349"/>
              <w:gridCol w:w="349"/>
              <w:gridCol w:w="349"/>
            </w:tblGrid>
            <w:tr w:rsidR="00CA32E4" w:rsidRPr="00466F14" w14:paraId="43B84C24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F1E1F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1BBC60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Rok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BA8C8D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52DD93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5AF1F4A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0F43B24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331B91E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60D978FC" w14:textId="77777777" w:rsidTr="00A93ACE">
              <w:trPr>
                <w:trHeight w:val="23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104DCE0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13E5D14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 v tis. EUR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729AC9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3725375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9C7E21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14:paraId="743940A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14:paraId="53723EA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0BF6111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20334D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00FC98B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</w:rPr>
                  </w:pPr>
                  <w:r w:rsidRPr="00466F14">
                    <w:rPr>
                      <w:rFonts w:cs="Calibri"/>
                    </w:rPr>
                    <w:t xml:space="preserve">Pozemky </w:t>
                  </w:r>
                  <w:r w:rsidRPr="00466F14">
                    <w:rPr>
                      <w:rFonts w:cs="Calibri"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nákup pozemkov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8B3A9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F756D1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6E7D5F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707415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616DD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52661F6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8FB971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6E096B0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Budovy a stavby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nákup, výstavbu, rekonštrukciu budov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101BA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A58BA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8F53D4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33D419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09DB1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8EC18B9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C88F01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C6F4E09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</w:rPr>
                  </w:pPr>
                  <w:r w:rsidRPr="00466F14">
                    <w:rPr>
                      <w:rFonts w:cs="Calibri"/>
                    </w:rPr>
                    <w:t xml:space="preserve">Nová technológia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náklady na nákup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511AB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1ED2DA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2FC7B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176A0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4A495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1D20386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47D38B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2F49CB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Použitá technológia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nákup použitej technológie (nie opravy, údržba a zhodnotenie) v roku, kedy boli vynaložené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D2CFE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21C512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624A1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CC1370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694D9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FBEB02C" w14:textId="77777777" w:rsidTr="00A93ACE">
              <w:trPr>
                <w:trHeight w:val="207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0DE26F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5889763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Mimoriadna údržba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mimoriadnu údržbu novej a použitej technológie. Ide o investičný náklad, t.j. nahradenie častí po životnosti, nie o bežné opravy.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4246E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4AC63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472DA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2424C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A3AA0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50D4B508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1797BD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C902073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Stále aktíva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039AA9A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F52B31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2ACFE0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019929E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6BE87B7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6DB0B8EC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B31D99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27515A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Licencie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náklady na licencie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0CB759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869F8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46A0C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37EFE0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E4E84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9042904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FB3259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6B6662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Patenty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patenty a pod.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E78CA0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AEAE6F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0ABD1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A8D01F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90ED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6A4C687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FA62D5B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526F10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investičné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investičné náklady, okrem vyššie uvedených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1F93B7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316BE8C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CCEC6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79555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F4566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FD38288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A60F99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553F9D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Náklady DNM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1A35FE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3A200D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908457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3D5D3B7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3CBE691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  <w:tr w:rsidR="00CA32E4" w:rsidRPr="00466F14" w14:paraId="5B3C43A8" w14:textId="77777777" w:rsidTr="00A93ACE">
              <w:trPr>
                <w:trHeight w:val="313"/>
                <w:jc w:val="center"/>
              </w:trPr>
              <w:tc>
                <w:tcPr>
                  <w:tcW w:w="40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04385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710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954486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Investičné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16B250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5677AC6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481D836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center"/>
                </w:tcPr>
                <w:p w14:paraId="2F46985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center"/>
                </w:tcPr>
                <w:p w14:paraId="424E91C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</w:tr>
          </w:tbl>
          <w:p w14:paraId="31FC6A3C" w14:textId="77777777" w:rsidR="00CA32E4" w:rsidRPr="00466F14" w:rsidRDefault="00CA32E4" w:rsidP="00972BD8">
            <w:pPr>
              <w:tabs>
                <w:tab w:val="left" w:pos="1260"/>
              </w:tabs>
              <w:spacing w:before="120" w:after="120"/>
              <w:jc w:val="both"/>
              <w:rPr>
                <w:rFonts w:cs="Calibri"/>
                <w:color w:val="000000"/>
                <w:u w:val="single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Z povahy je sem možné zahrnúť objem prostriedkov na tzv. potrebu pracovného kapitálu, t.j. prostriedky, ktoré je potrebné zabezpečiť v priamej súvislosti s viazaním finančných zdrojov vo vyšších zásobách materiálu, ktoré je potrebné dodatočne vytvoriť a udržiavať v priamej súvislosti s investíciou. Tieto výdavky je potrebné zabezpečiť v rovnakom časovom období, ako je samotné vynaloženie prostriedkov na investíciu.</w:t>
            </w:r>
          </w:p>
          <w:p w14:paraId="3B845058" w14:textId="77777777" w:rsidR="00CA32E4" w:rsidRPr="00466F14" w:rsidRDefault="00CA32E4" w:rsidP="00972BD8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Pokiaľ má majetok zostatkovú hodnotu na konci sledovaného obdobia (napr. vyvolaná dodatočná investícia v priebehu realizácie projektu, ktorá nie je predmetom samotného projektu – rozpočtu projektu), potom sa v zmysle tejto finančnej analýzy uvedie zostatková hodnota takéhoto majetku v poslednom roku so znamienkom mínus.</w:t>
            </w:r>
          </w:p>
          <w:p w14:paraId="5E0B23EC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607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Tabuľka č. II. Prevádzkové náklady </w:t>
            </w:r>
          </w:p>
          <w:tbl>
            <w:tblPr>
              <w:tblW w:w="94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7241"/>
              <w:gridCol w:w="355"/>
              <w:gridCol w:w="355"/>
              <w:gridCol w:w="355"/>
              <w:gridCol w:w="355"/>
              <w:gridCol w:w="355"/>
            </w:tblGrid>
            <w:tr w:rsidR="00CA32E4" w:rsidRPr="00466F14" w14:paraId="53C0D650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C6DFA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 </w:t>
                  </w:r>
                </w:p>
              </w:tc>
              <w:tc>
                <w:tcPr>
                  <w:tcW w:w="6938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22C7AA4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F69C00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6F83C8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C36260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245D125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 xml:space="preserve"> 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21945D02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3145FBFD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7EAAAE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0AC4D9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Materiál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 náklady na materiál, ktorý je potrebné obstarávať v súvislosti so zabezpečením prevádzky investičného majetku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D289D1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A1FB7C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DDB06A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69AB3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7DB407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6DBFF72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64E0E70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10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30D159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Obstaranie tovarov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náklady na obstaranie tovarov. Pod tovarom sa rozumie tovar v zmysle účtovníctva, určený na ďalší predaj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8025EA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DF719B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BA27FE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410EB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21A4E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1BFE89E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87966B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11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4664256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i/>
                      <w:color w:val="FF0000"/>
                      <w:u w:val="single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 xml:space="preserve">Osobné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náklady na zamestnancov a zmluvy uzatvorené podľa zákonníka práce. Ide o celkovú cenu prace – t.j. hrubá mzda a odvody za zamestnancov,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ktorí vykonávajú práce súvisiace s realizovanou investíciou (napr. obsluha zariadenia).</w:t>
                  </w:r>
                </w:p>
                <w:p w14:paraId="420BBE93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Pokiaľ bola práca dodaná na základe inej zmluvy ako podľa Zákonníka práce (napr. zmluva o dielo so živnostníkom), vstupuje do analýzy v 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riadku č. 12 Služby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79AE5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C5E2A6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38E8B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E825AB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E0022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8BA2B79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A4BA35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12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2C5B49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Služby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 n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áklady na externé služby súvisiace s  investíciou (+bankové poplatky)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5AEE8D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22758F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A8D0C4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01C754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CCFA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E43697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9228C4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13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D6BAEE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Energie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energie. Ide o náklady na dodatočné energie, ktorých potreba bola vyvolaná investíciou – t.j. napr. energie na prevádzku obstaraných strojov, prístrojov, zariadení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720744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318DA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B798DC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1421F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0C91BF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942D7C6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B31C8A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14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FEC9BF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Údržba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náklady na údržbu – nie nákup nového majetku alebo jeho zhodnotenie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327599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7A41AE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DA8898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5B1AF3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9B34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7751B05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45CD2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15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7F3E23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Úroky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úroky z poskytnutých úverov, týkajúcich sa financovania investície, pokiaľ je spolufinancovanie investície zabezpečené prostredníctvom úverovej zmluvy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23A44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061D6C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478B3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58F2710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DA5DE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1799DFF5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13E6439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16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03BB8678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Poplatky a dane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iné poplatky (napr. obci). V prípade daní, ide napr. o daň z nehnuteľnosti. </w:t>
                  </w:r>
                </w:p>
                <w:p w14:paraId="4C226D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Upozornenie: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Nejde tu o daň z príjmov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FC3516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316D87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E7C788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82968B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7A387B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12CF4E2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05316C2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17</w:t>
                  </w: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40E1BAF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náklady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iné náklady súvisiace s 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C48DF6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52AFD3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E4C08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5EDEF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40C267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28545D5D" w14:textId="77777777" w:rsidTr="00A93ACE">
              <w:trPr>
                <w:trHeight w:val="255"/>
                <w:jc w:val="center"/>
              </w:trPr>
              <w:tc>
                <w:tcPr>
                  <w:tcW w:w="395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4BB3E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938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E56712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náklady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540B1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DD9DF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A5CDE1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vAlign w:val="bottom"/>
                </w:tcPr>
                <w:p w14:paraId="37C0160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F1AF5C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478E92D9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65"/>
              <w:textAlignment w:val="baseline"/>
              <w:rPr>
                <w:rFonts w:cs="Calibri"/>
                <w:b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>Tabuľka č. III. Výnosy</w:t>
            </w:r>
          </w:p>
          <w:tbl>
            <w:tblPr>
              <w:tblW w:w="95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7233"/>
              <w:gridCol w:w="366"/>
              <w:gridCol w:w="366"/>
              <w:gridCol w:w="366"/>
              <w:gridCol w:w="366"/>
              <w:gridCol w:w="366"/>
            </w:tblGrid>
            <w:tr w:rsidR="00CA32E4" w:rsidRPr="00466F14" w14:paraId="1B9688C0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3A4756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72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17390A2C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02480956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09AE96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1F9FBD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1E3FB15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0C8313AD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31A3F5C9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908EA5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18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613EFF6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služby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služby,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5E9AC1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07B2A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019281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22F2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B5B9C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BB387D4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A18DD3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19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EC300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výrobky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tržby za výrobky, ktoré sa dodatočne vytvoria v priamej súvislosti s  realizovanou investíciou 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DFA24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0524F7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0BE70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4E8FF6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99B73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5B4FC72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716EA10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20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C23D77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Tržby za tovary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tržby za tovary, ktoré boli pôvodne zakúpené od dodávateľov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60EC9B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05DACF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4C0D1F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4331C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D9FC6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0701996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B45730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25A0C8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Prevádzkové výnosy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39ECFF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E9BF59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0288B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E700C7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B9B509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31CFED4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579249B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lastRenderedPageBreak/>
                    <w:t>21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222AA2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z predaja majetku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 rámci tejto výzvy </w:t>
                  </w: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irelevantné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6E573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B967CB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73A7A6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759A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A8A0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6435B3E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4A68EC3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22</w:t>
                  </w: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63A2A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Iné výnosy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 iné výnosy vytvorené realizovanou investíciou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707F751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64BC7FB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2E7DB4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8E04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48B4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A6681F2" w14:textId="77777777" w:rsidTr="00A93ACE">
              <w:trPr>
                <w:trHeight w:val="255"/>
                <w:jc w:val="center"/>
              </w:trPr>
              <w:tc>
                <w:tcPr>
                  <w:tcW w:w="45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11021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672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2D1E80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Výnosy celkom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9BE9C9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08972F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40B629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33D208E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BAD822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79940175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499"/>
              <w:textAlignment w:val="baseline"/>
              <w:rPr>
                <w:rFonts w:cs="Calibri"/>
                <w:b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IV – Výpočet dani z príjmu</w:t>
            </w:r>
          </w:p>
          <w:p w14:paraId="3E08D440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color w:val="000000"/>
                <w:lang w:eastAsia="x-none"/>
              </w:rPr>
              <w:t>Nakoľko je daň z príjmov záporným peňažným tokom, je vhodné zahrnúť ju do finančnej analýzy. Žiadateľ vypĺňa len riadok 25) Daňové odpisy.</w:t>
            </w:r>
          </w:p>
          <w:tbl>
            <w:tblPr>
              <w:tblW w:w="954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3"/>
              <w:gridCol w:w="7154"/>
              <w:gridCol w:w="378"/>
              <w:gridCol w:w="378"/>
              <w:gridCol w:w="378"/>
              <w:gridCol w:w="378"/>
              <w:gridCol w:w="378"/>
            </w:tblGrid>
            <w:tr w:rsidR="00CA32E4" w:rsidRPr="00466F14" w14:paraId="34BFAC06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73C360B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644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961E835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Zisk v tis. EUR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C15F4D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15E05A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F0B26E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19DFC927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3934AC38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4E77DC31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837273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23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6E7417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Výnosy celkom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počíta samotná analýza z tabuľky č. III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0C6603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56537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708713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9EB89A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C0C49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6554FBB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7472FC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24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1008EF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náklady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 xml:space="preserve">–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počíta samotná analýza z tabuľky č. II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D79002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608C0E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8DC150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E1FD4E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638A66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E69DA5E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center"/>
                </w:tcPr>
                <w:p w14:paraId="21E0924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25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F576882" w14:textId="77777777" w:rsidR="00CA32E4" w:rsidRPr="00466F14" w:rsidRDefault="00CA32E4" w:rsidP="00972BD8">
                  <w:pPr>
                    <w:jc w:val="both"/>
                    <w:rPr>
                      <w:rFonts w:cs="Calibri"/>
                      <w:i/>
                      <w:color w:val="FF0000"/>
                      <w:lang w:eastAsia="x-none"/>
                    </w:rPr>
                  </w:pPr>
                  <w:r w:rsidRPr="00466F14">
                    <w:rPr>
                      <w:rFonts w:cs="Calibri"/>
                    </w:rPr>
                    <w:t>Daňové odpisy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Ide o odpisy DHM a DNM v zmysle daňových zákonov. </w:t>
                  </w:r>
                </w:p>
                <w:p w14:paraId="1751131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b/>
                      <w:i/>
                      <w:color w:val="FF0000"/>
                      <w:lang w:eastAsia="x-none"/>
                    </w:rPr>
                    <w:t>Pozn.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: musí uviesť žiadateľ. Nemusia byť totožné s účtovnými odpismi.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1C56980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4113E8C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noWrap/>
                  <w:vAlign w:val="bottom"/>
                </w:tcPr>
                <w:p w14:paraId="33D569F7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4EFC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39972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4D332F1D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DEAF80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26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A3A0102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Hrubý zisk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„Celkové výnosy – (Prevádzkové náklady + Daňové odpisy)“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E4562B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6EA1BF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E40BA9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443DCB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1A7673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AEF4DA3" w14:textId="77777777" w:rsidTr="00A93ACE">
              <w:trPr>
                <w:trHeight w:val="255"/>
                <w:jc w:val="center"/>
              </w:trPr>
              <w:tc>
                <w:tcPr>
                  <w:tcW w:w="45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FA33DF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27</w:t>
                  </w:r>
                </w:p>
              </w:tc>
              <w:tc>
                <w:tcPr>
                  <w:tcW w:w="644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48CB25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Daň z príjmu</w:t>
                  </w:r>
                  <w:r w:rsidRPr="00466F14">
                    <w:rPr>
                      <w:rFonts w:cs="Calibri"/>
                      <w:color w:val="000000"/>
                      <w:u w:val="single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– vypočíta analýza ako „hrubý zisk x sadzba dane v %“. V prípade straty sa daň nevypočíta</w:t>
                  </w: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4A2F21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A2D928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15C084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12B6A2E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03951FB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</w:tbl>
          <w:p w14:paraId="19820DA1" w14:textId="77777777" w:rsidR="00CA32E4" w:rsidRPr="00466F14" w:rsidRDefault="00CA32E4" w:rsidP="00A93ACE">
            <w:pPr>
              <w:tabs>
                <w:tab w:val="left" w:pos="1260"/>
              </w:tabs>
              <w:adjustRightInd w:val="0"/>
              <w:spacing w:before="120" w:after="120"/>
              <w:ind w:left="323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color w:val="000000"/>
                <w:lang w:eastAsia="x-none"/>
              </w:rPr>
              <w:t>Tabuľka č. V – Výpočet miery výnosovosti</w:t>
            </w:r>
            <w:r w:rsidRPr="00466F14">
              <w:rPr>
                <w:rFonts w:cs="Calibri"/>
                <w:color w:val="000000"/>
                <w:lang w:eastAsia="x-none"/>
              </w:rPr>
              <w:t xml:space="preserve"> – Žiadateľ túto tabuľku nevypĺňa.</w:t>
            </w:r>
          </w:p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7119"/>
              <w:gridCol w:w="379"/>
              <w:gridCol w:w="380"/>
              <w:gridCol w:w="380"/>
              <w:gridCol w:w="380"/>
              <w:gridCol w:w="380"/>
            </w:tblGrid>
            <w:tr w:rsidR="00CA32E4" w:rsidRPr="00466F14" w14:paraId="49A6BF4A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center"/>
                </w:tcPr>
                <w:p w14:paraId="2D51A1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2FB8CD73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Miera výnosnosti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5FAE936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1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475A0CCB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2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noWrap/>
                  <w:vAlign w:val="bottom"/>
                </w:tcPr>
                <w:p w14:paraId="64A9A5EE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3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bottom"/>
                </w:tcPr>
                <w:p w14:paraId="5B4F81A9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4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bottom"/>
                </w:tcPr>
                <w:p w14:paraId="142E274F" w14:textId="77777777" w:rsidR="00CA32E4" w:rsidRPr="00466F14" w:rsidRDefault="00CA32E4" w:rsidP="00A93ACE">
                  <w:pPr>
                    <w:rPr>
                      <w:rFonts w:cs="Calibri"/>
                      <w:bCs/>
                    </w:rPr>
                  </w:pPr>
                  <w:r w:rsidRPr="00466F14">
                    <w:rPr>
                      <w:rFonts w:cs="Calibri"/>
                      <w:bCs/>
                    </w:rPr>
                    <w:t>...</w:t>
                  </w:r>
                </w:p>
              </w:tc>
            </w:tr>
            <w:tr w:rsidR="00CA32E4" w:rsidRPr="00466F14" w14:paraId="3803B3CD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1D055F9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28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22FDD71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Prevádzkové výdavky + daň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„prevádzkové náklady + daň z príjmu“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14F38D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44E65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944E3E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2E80862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A966DEB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04691BF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1159ABD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29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4DE014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  <w:color w:val="000000"/>
                    </w:rPr>
                    <w:t>S</w:t>
                  </w:r>
                  <w:r w:rsidRPr="00466F14">
                    <w:rPr>
                      <w:rFonts w:cs="Calibri"/>
                    </w:rPr>
                    <w:t xml:space="preserve">účasná hodnota prevádzkových výdavkov 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>–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vypočíta analýza ako diskontované prevádzkové náklady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3E3D89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6F9B98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54EE13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3E22897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DFF9010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B2476F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E5247B9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30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59636F0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Celková hodnota výnosov</w:t>
                  </w:r>
                  <w:r w:rsidRPr="00466F14">
                    <w:rPr>
                      <w:rFonts w:cs="Calibri"/>
                      <w:color w:val="000000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prenáša sa automaticky z riadku 23 z tabuľky č. IV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6EC6478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B3555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5DEE81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1379A3C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C8BD2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0DA4946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20F5D5E7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31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121BBA6A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Súčasná hodnota celkových výnosov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celkovú hodnotu výnosov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CCB308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A11717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3B254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4A119AA3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20663FA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682F2A7E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DDD153E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32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584DAB8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rozdiel „riadok 31. – riadok 29.“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4C78D9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6900EB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F92085A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20575E8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2D2485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E71F44" w:rsidRPr="00466F14" w14:paraId="3215AB15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747E16A3" w14:textId="77777777" w:rsidR="00E71F4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33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4375684" w14:textId="77777777" w:rsidR="00E71F44" w:rsidRPr="00466F14" w:rsidRDefault="00E71F44" w:rsidP="00E71F44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CASH-FLOW</w:t>
                  </w:r>
                  <w:r>
                    <w:rPr>
                      <w:rFonts w:cs="Calibri"/>
                    </w:rPr>
                    <w:t xml:space="preserve"> KUMULATÍVNE</w:t>
                  </w:r>
                  <w:r w:rsidRPr="00466F14">
                    <w:rPr>
                      <w:rFonts w:cs="Calibri"/>
                      <w:i/>
                      <w:color w:val="FF0000"/>
                    </w:rPr>
                    <w:t xml:space="preserve"> </w:t>
                  </w:r>
                  <w:r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postupným akumulovaním CASH-FLOW z riadku 32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9FEBD9F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CBD7B64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C338445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6F6615D8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3A60E3F3" w14:textId="77777777" w:rsidR="00E71F44" w:rsidRPr="00466F14" w:rsidRDefault="00E71F4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155F898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4511B40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34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368F18D4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 xml:space="preserve">Investičné náklady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súčet všetkých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AB847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AA71B39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7CC49C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73380D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85C3B66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50894408" w14:textId="77777777" w:rsidTr="00A93ACE">
              <w:trPr>
                <w:trHeight w:val="552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0D2ADE5A" w14:textId="77777777" w:rsidR="00CA32E4" w:rsidRPr="00466F14" w:rsidRDefault="00E71F44" w:rsidP="00972BD8">
                  <w:pPr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lastRenderedPageBreak/>
                    <w:t>35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0A0D6EC" w14:textId="77777777" w:rsidR="00CA32E4" w:rsidRPr="00466F14" w:rsidRDefault="00CA32E4" w:rsidP="00972BD8">
                  <w:pPr>
                    <w:jc w:val="both"/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Súčasná hodnota investičných nákladov</w:t>
                  </w:r>
                  <w:r w:rsidRPr="00466F14">
                    <w:rPr>
                      <w:rFonts w:cs="Calibri"/>
                      <w:lang w:eastAsia="x-none"/>
                    </w:rPr>
                    <w:t xml:space="preserve">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>– vypočíta analýza ako diskontovanú hodnotu investičných nákladov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561E65C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7CF545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7E2EC8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579A262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4FB792D8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</w:tr>
            <w:tr w:rsidR="00CA32E4" w:rsidRPr="00466F14" w14:paraId="331FC576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3D03BF66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36</w:t>
                  </w:r>
                </w:p>
              </w:tc>
              <w:tc>
                <w:tcPr>
                  <w:tcW w:w="7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53D27363" w14:textId="77777777" w:rsidR="00CA32E4" w:rsidRPr="00466F14" w:rsidRDefault="00CA32E4" w:rsidP="00972BD8">
                  <w:pPr>
                    <w:tabs>
                      <w:tab w:val="left" w:pos="1260"/>
                    </w:tabs>
                    <w:spacing w:before="60" w:after="60"/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Miera výnosovosti projektu: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ako podiel kumulovaných hodnôt (v stĺpci „kumulatívne“) za dobu ekonomickej životnosti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/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4BA173C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0BE493A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B025EFD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9CCFF"/>
                </w:tcPr>
                <w:p w14:paraId="0502F584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5D91881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  <w:tr w:rsidR="00CA32E4" w:rsidRPr="00466F14" w14:paraId="317A6A71" w14:textId="77777777" w:rsidTr="00A93ACE">
              <w:trPr>
                <w:trHeight w:val="255"/>
                <w:jc w:val="center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center"/>
                </w:tcPr>
                <w:p w14:paraId="64E6FC2F" w14:textId="77777777" w:rsidR="00CA32E4" w:rsidRPr="00466F14" w:rsidRDefault="00E71F44" w:rsidP="00972BD8">
                  <w:pPr>
                    <w:jc w:val="both"/>
                    <w:rPr>
                      <w:rFonts w:cs="Calibri"/>
                      <w:bCs/>
                    </w:rPr>
                  </w:pPr>
                  <w:r>
                    <w:rPr>
                      <w:rFonts w:cs="Calibri"/>
                      <w:bCs/>
                    </w:rPr>
                    <w:t>37</w:t>
                  </w:r>
                </w:p>
              </w:tc>
              <w:tc>
                <w:tcPr>
                  <w:tcW w:w="711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FF00"/>
                  <w:noWrap/>
                  <w:vAlign w:val="bottom"/>
                </w:tcPr>
                <w:p w14:paraId="0C657962" w14:textId="77777777" w:rsidR="00CA32E4" w:rsidRPr="00466F14" w:rsidRDefault="00CA32E4" w:rsidP="00972BD8">
                  <w:pPr>
                    <w:jc w:val="both"/>
                    <w:rPr>
                      <w:rFonts w:cs="Calibri"/>
                      <w:b/>
                      <w:bCs/>
                    </w:rPr>
                  </w:pPr>
                  <w:r w:rsidRPr="00466F14">
                    <w:rPr>
                      <w:rFonts w:cs="Calibri"/>
                      <w:b/>
                      <w:bCs/>
                    </w:rPr>
                    <w:t xml:space="preserve">Výpočet výšky ČSH: 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– vypočíta analýza automaticky ako rozdiel kumulovaných hodnôt (v stĺpci „kumulatívne“) „súčasná hodnota </w:t>
                  </w:r>
                  <w:r w:rsidRPr="00466F14">
                    <w:rPr>
                      <w:rFonts w:cs="Calibri"/>
                      <w:bCs/>
                      <w:i/>
                      <w:color w:val="FF0000"/>
                      <w:lang w:eastAsia="x-none"/>
                    </w:rPr>
                    <w:t>CASH-FLOW</w:t>
                  </w:r>
                  <w:r w:rsidRPr="00466F14">
                    <w:rPr>
                      <w:rFonts w:cs="Calibri"/>
                      <w:i/>
                      <w:color w:val="FF0000"/>
                      <w:lang w:eastAsia="x-none"/>
                    </w:rPr>
                    <w:t xml:space="preserve"> – súčasná hodnota investičných nákladov“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2BEE641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7381B43E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  <w:noWrap/>
                  <w:vAlign w:val="bottom"/>
                </w:tcPr>
                <w:p w14:paraId="51ECA715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99CCFF"/>
                </w:tcPr>
                <w:p w14:paraId="7ED2B481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  <w:noWrap/>
                  <w:vAlign w:val="bottom"/>
                </w:tcPr>
                <w:p w14:paraId="7463BDEF" w14:textId="77777777" w:rsidR="00CA32E4" w:rsidRPr="00466F14" w:rsidRDefault="00CA32E4" w:rsidP="00A93ACE">
                  <w:pPr>
                    <w:rPr>
                      <w:rFonts w:cs="Calibri"/>
                    </w:rPr>
                  </w:pPr>
                  <w:r w:rsidRPr="00466F14">
                    <w:rPr>
                      <w:rFonts w:cs="Calibri"/>
                    </w:rPr>
                    <w:t> </w:t>
                  </w:r>
                </w:p>
              </w:tc>
            </w:tr>
          </w:tbl>
          <w:p w14:paraId="40524B31" w14:textId="77777777" w:rsidR="00CA32E4" w:rsidRPr="00466F14" w:rsidRDefault="00CA32E4" w:rsidP="00DE1B8F">
            <w:pPr>
              <w:tabs>
                <w:tab w:val="left" w:pos="1260"/>
              </w:tabs>
              <w:adjustRightInd w:val="0"/>
              <w:spacing w:before="120" w:after="120"/>
              <w:jc w:val="both"/>
              <w:textAlignment w:val="baseline"/>
              <w:rPr>
                <w:rFonts w:cs="Calibri"/>
                <w:color w:val="000000"/>
                <w:lang w:eastAsia="x-none"/>
              </w:rPr>
            </w:pPr>
            <w:r w:rsidRPr="00466F14">
              <w:rPr>
                <w:rFonts w:cs="Calibri"/>
                <w:b/>
                <w:lang w:eastAsia="x-none"/>
              </w:rPr>
              <w:t xml:space="preserve">Žiadateľ okrem preddefinovaného formulára finančnej analýzy zároveň v rámci </w:t>
            </w:r>
            <w:r w:rsidR="00DE1B8F" w:rsidRPr="00466F14">
              <w:rPr>
                <w:rFonts w:cs="Calibri"/>
                <w:b/>
                <w:lang w:eastAsia="x-none"/>
              </w:rPr>
              <w:t xml:space="preserve">formulára ŽoPr v časti </w:t>
            </w:r>
            <w:r w:rsidR="00081803" w:rsidRPr="00466F14">
              <w:rPr>
                <w:rFonts w:cs="Calibri"/>
                <w:b/>
                <w:lang w:eastAsia="x-none"/>
              </w:rPr>
              <w:t>7.3</w:t>
            </w:r>
            <w:r w:rsidRPr="00466F14">
              <w:rPr>
                <w:rFonts w:cs="Calibri"/>
                <w:b/>
                <w:lang w:eastAsia="x-none"/>
              </w:rPr>
              <w:t xml:space="preserve"> uvedie, akým spôsobom určil jednotlivé hodnoty vstupujúce do finančnej analýzy a konkrétne vysvetlí ich vývoj v čase.</w:t>
            </w:r>
          </w:p>
          <w:p w14:paraId="301B5DFC" w14:textId="77777777" w:rsidR="00CA32E4" w:rsidRPr="00466F14" w:rsidRDefault="00CA32E4" w:rsidP="00081803">
            <w:pPr>
              <w:adjustRightInd w:val="0"/>
              <w:spacing w:before="120" w:after="120"/>
              <w:jc w:val="both"/>
              <w:textAlignment w:val="baseline"/>
              <w:rPr>
                <w:rFonts w:cs="Calibri"/>
              </w:rPr>
            </w:pPr>
            <w:r w:rsidRPr="00466F14">
              <w:rPr>
                <w:rFonts w:cs="Calibri"/>
              </w:rPr>
              <w:t>Vo formulári ŽoP</w:t>
            </w:r>
            <w:r w:rsidR="00DE1B8F" w:rsidRPr="00466F14">
              <w:rPr>
                <w:rFonts w:cs="Calibri"/>
              </w:rPr>
              <w:t>r</w:t>
            </w:r>
            <w:r w:rsidRPr="00466F14">
              <w:rPr>
                <w:rFonts w:cs="Calibri"/>
              </w:rPr>
              <w:t xml:space="preserve"> (</w:t>
            </w:r>
            <w:r w:rsidR="00081803" w:rsidRPr="00466F14">
              <w:rPr>
                <w:rFonts w:cs="Calibri"/>
              </w:rPr>
              <w:t>v časti 7.3.</w:t>
            </w:r>
            <w:r w:rsidRPr="00466F14">
              <w:rPr>
                <w:rFonts w:cs="Calibri"/>
              </w:rPr>
              <w:t>) je žiadateľ zároveň povinný vykonať rizikovú analýzu vstupov do finančnej analýzy, t.j. popísať, ktoré z údajov zadávaných do finančnej analýzy z pohľadu dosiahnutia požadovaných výsledkov predstavujú najväčšie riziko, a uvedie, ako plánuje zabrániť vzniku situácií, ktoré negatívne ovplyvnia plánovanú výšku miery výnosnosti investície.</w:t>
            </w:r>
          </w:p>
        </w:tc>
      </w:tr>
    </w:tbl>
    <w:p w14:paraId="596812DD" w14:textId="77777777" w:rsidR="00E723DB" w:rsidRPr="00466F14" w:rsidRDefault="00E723DB">
      <w:pPr>
        <w:rPr>
          <w:rFonts w:cs="Calibri"/>
        </w:rPr>
      </w:pPr>
    </w:p>
    <w:sectPr w:rsidR="00E723DB" w:rsidRPr="0046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34A8" w14:textId="77777777" w:rsidR="00CD2B68" w:rsidRDefault="00CD2B68" w:rsidP="00CA32E4">
      <w:pPr>
        <w:spacing w:after="0" w:line="240" w:lineRule="auto"/>
      </w:pPr>
      <w:r>
        <w:separator/>
      </w:r>
    </w:p>
  </w:endnote>
  <w:endnote w:type="continuationSeparator" w:id="0">
    <w:p w14:paraId="5BA8B8FE" w14:textId="77777777" w:rsidR="00CD2B68" w:rsidRDefault="00CD2B68" w:rsidP="00CA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DE5F" w14:textId="77777777" w:rsidR="002B4EF6" w:rsidRDefault="002B4E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AAF1D" w14:textId="77777777" w:rsidR="002B4EF6" w:rsidRDefault="002B4EF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2930" w14:textId="77777777" w:rsidR="002B4EF6" w:rsidRDefault="002B4E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030C" w14:textId="77777777" w:rsidR="00CD2B68" w:rsidRDefault="00CD2B68" w:rsidP="00CA32E4">
      <w:pPr>
        <w:spacing w:after="0" w:line="240" w:lineRule="auto"/>
      </w:pPr>
      <w:r>
        <w:separator/>
      </w:r>
    </w:p>
  </w:footnote>
  <w:footnote w:type="continuationSeparator" w:id="0">
    <w:p w14:paraId="366916FB" w14:textId="77777777" w:rsidR="00CD2B68" w:rsidRDefault="00CD2B68" w:rsidP="00CA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AF0E" w14:textId="77777777" w:rsidR="002B4EF6" w:rsidRDefault="002B4EF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52CC" w14:textId="7F8A4367" w:rsidR="003511E4" w:rsidRDefault="003511E4" w:rsidP="003511E4">
    <w:pPr>
      <w:pStyle w:val="Hlavika"/>
      <w:jc w:val="right"/>
    </w:pPr>
    <w:r>
      <w:t xml:space="preserve">Príloha </w:t>
    </w:r>
    <w:r w:rsidR="00320F73">
      <w:t>6</w:t>
    </w:r>
    <w:r w:rsidR="002B4EF6">
      <w:t>a</w:t>
    </w:r>
    <w:r>
      <w:t xml:space="preserve"> ŽoPr - Inštrukcia k finančnej analýze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E7B00" w14:textId="77777777" w:rsidR="002B4EF6" w:rsidRDefault="002B4EF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04A"/>
    <w:multiLevelType w:val="hybridMultilevel"/>
    <w:tmpl w:val="3D2642F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E4"/>
    <w:rsid w:val="000204B6"/>
    <w:rsid w:val="00050C07"/>
    <w:rsid w:val="00081803"/>
    <w:rsid w:val="000E69F3"/>
    <w:rsid w:val="001D3432"/>
    <w:rsid w:val="002B4EF6"/>
    <w:rsid w:val="00320F73"/>
    <w:rsid w:val="00350F65"/>
    <w:rsid w:val="003511E4"/>
    <w:rsid w:val="004215E6"/>
    <w:rsid w:val="00466F14"/>
    <w:rsid w:val="004B2702"/>
    <w:rsid w:val="005A2D87"/>
    <w:rsid w:val="00667CD1"/>
    <w:rsid w:val="006D50C4"/>
    <w:rsid w:val="00700054"/>
    <w:rsid w:val="00715C4D"/>
    <w:rsid w:val="00751672"/>
    <w:rsid w:val="00972BD8"/>
    <w:rsid w:val="00A93ACE"/>
    <w:rsid w:val="00B7488D"/>
    <w:rsid w:val="00C27DD7"/>
    <w:rsid w:val="00C90D29"/>
    <w:rsid w:val="00CA32E4"/>
    <w:rsid w:val="00CC0AED"/>
    <w:rsid w:val="00CD2B68"/>
    <w:rsid w:val="00CF766D"/>
    <w:rsid w:val="00DA1A6C"/>
    <w:rsid w:val="00DE1B8F"/>
    <w:rsid w:val="00E116D1"/>
    <w:rsid w:val="00E71F44"/>
    <w:rsid w:val="00E723DB"/>
    <w:rsid w:val="00FB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A39FB"/>
  <w14:defaultImageDpi w14:val="0"/>
  <w15:docId w15:val="{775DD40C-EE70-44F0-8197-0B411C4A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A32E4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eastAsia="en-US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rsid w:val="00CA32E4"/>
    <w:pPr>
      <w:widowControl w:val="0"/>
      <w:spacing w:after="0" w:line="240" w:lineRule="auto"/>
      <w:jc w:val="both"/>
    </w:pPr>
    <w:rPr>
      <w:rFonts w:ascii="Century Gothic" w:hAnsi="Century Gothic"/>
      <w:sz w:val="16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locked/>
    <w:rsid w:val="00CA32E4"/>
    <w:rPr>
      <w:rFonts w:ascii="Century Gothic" w:hAnsi="Century Gothic" w:cs="Times New Roman"/>
      <w:sz w:val="20"/>
      <w:szCs w:val="20"/>
      <w:lang w:val="x-none"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CA32E4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11E4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511E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11E4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350F6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F6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50F6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F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50F65"/>
    <w:rPr>
      <w:rFonts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350F6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50F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F65"/>
    <w:rPr>
      <w:rFonts w:ascii="Segoe UI" w:hAnsi="Segoe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</dc:creator>
  <cp:keywords/>
  <dc:description/>
  <cp:lastModifiedBy>Branislav Bernátek</cp:lastModifiedBy>
  <cp:revision>4</cp:revision>
  <dcterms:created xsi:type="dcterms:W3CDTF">2021-03-09T18:52:00Z</dcterms:created>
  <dcterms:modified xsi:type="dcterms:W3CDTF">2021-05-14T11:04:00Z</dcterms:modified>
</cp:coreProperties>
</file>