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86ED38" w14:textId="77777777" w:rsidR="007900C1" w:rsidRPr="009B0208" w:rsidRDefault="007900C1" w:rsidP="00F47BA6">
      <w:pPr>
        <w:pStyle w:val="Podtitul"/>
      </w:pPr>
    </w:p>
    <w:p w14:paraId="5E81F68E" w14:textId="77777777" w:rsidR="00C13501" w:rsidRDefault="00C13501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</w:p>
    <w:p w14:paraId="20A4E075" w14:textId="53EDA28E" w:rsidR="008C0C85" w:rsidRPr="00387357" w:rsidRDefault="008C0C85" w:rsidP="008C0C85">
      <w:pPr>
        <w:ind w:left="-426"/>
        <w:jc w:val="center"/>
        <w:rPr>
          <w:rFonts w:asciiTheme="minorHAnsi" w:hAnsiTheme="minorHAnsi" w:cstheme="minorHAnsi"/>
          <w:b/>
          <w:sz w:val="28"/>
        </w:rPr>
      </w:pPr>
      <w:r w:rsidRPr="00387357">
        <w:rPr>
          <w:rFonts w:asciiTheme="minorHAnsi" w:hAnsiTheme="minorHAnsi" w:cstheme="minorHAnsi"/>
          <w:b/>
          <w:sz w:val="28"/>
        </w:rPr>
        <w:t>Špecifikácia rozsahu oprávnenej aktivity a oprávnených výdavkov</w:t>
      </w:r>
    </w:p>
    <w:p w14:paraId="1689B806" w14:textId="77777777" w:rsidR="007900C1" w:rsidRPr="009B0208" w:rsidRDefault="007900C1" w:rsidP="007900C1">
      <w:pPr>
        <w:ind w:left="-426"/>
        <w:jc w:val="both"/>
        <w:rPr>
          <w:rFonts w:asciiTheme="minorHAnsi" w:hAnsiTheme="minorHAnsi" w:cstheme="minorHAnsi"/>
        </w:rPr>
      </w:pPr>
    </w:p>
    <w:p w14:paraId="3C658BF5" w14:textId="77777777" w:rsidR="00D80A8E" w:rsidRPr="009B0208" w:rsidRDefault="00D80A8E" w:rsidP="007900C1">
      <w:pPr>
        <w:ind w:left="-426"/>
        <w:jc w:val="both"/>
        <w:rPr>
          <w:rFonts w:asciiTheme="minorHAnsi" w:hAnsiTheme="minorHAnsi" w:cstheme="minorHAnsi"/>
        </w:rPr>
      </w:pPr>
    </w:p>
    <w:tbl>
      <w:tblPr>
        <w:tblStyle w:val="Mriekatabuky"/>
        <w:tblW w:w="14601" w:type="dxa"/>
        <w:tblInd w:w="-289" w:type="dxa"/>
        <w:shd w:val="clear" w:color="auto" w:fill="A6A6A6" w:themeFill="background1" w:themeFillShade="A6"/>
        <w:tblLook w:val="04A0" w:firstRow="1" w:lastRow="0" w:firstColumn="1" w:lastColumn="0" w:noHBand="0" w:noVBand="1"/>
      </w:tblPr>
      <w:tblGrid>
        <w:gridCol w:w="14601"/>
      </w:tblGrid>
      <w:tr w:rsidR="007A1D28" w:rsidRPr="009B0208" w14:paraId="4003EEEE" w14:textId="77777777" w:rsidTr="00773273">
        <w:tc>
          <w:tcPr>
            <w:tcW w:w="14601" w:type="dxa"/>
            <w:shd w:val="clear" w:color="auto" w:fill="A6A6A6" w:themeFill="background1" w:themeFillShade="A6"/>
          </w:tcPr>
          <w:p w14:paraId="1EB6FE50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Upozornenie:</w:t>
            </w:r>
          </w:p>
          <w:p w14:paraId="580DAB0D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Oprávnené sú iba tie </w:t>
            </w:r>
            <w:r w:rsidRPr="009B0208">
              <w:rPr>
                <w:rFonts w:asciiTheme="minorHAnsi" w:hAnsiTheme="minorHAnsi" w:cstheme="minorHAnsi"/>
                <w:b/>
                <w:sz w:val="22"/>
                <w:szCs w:val="22"/>
                <w:lang w:val="sk-SK"/>
              </w:rPr>
              <w:t>výdavky, ktoré sú nevyhnutné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pre realizáciu a dosiahnutie cieľov projektu.</w:t>
            </w:r>
          </w:p>
          <w:p w14:paraId="73262991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Daň z pridanej hodnoty (ďalej len „DPH“) sa považuje za neoprávnený výdavok v prípade, ak:</w:t>
            </w:r>
          </w:p>
          <w:p w14:paraId="461FC079" w14:textId="3A4EB34C" w:rsidR="007A1D28" w:rsidRPr="009B0208" w:rsidRDefault="00114544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žiadateľ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 má nárok na vrátanie (odpočet) DPH za nadobudnutý a/alebo zhodnotený majetok, ktorý je financovaný z príspevku;</w:t>
            </w:r>
          </w:p>
          <w:p w14:paraId="4B27C95C" w14:textId="78413E14" w:rsidR="007A1D28" w:rsidRPr="009B0208" w:rsidRDefault="007A1D28" w:rsidP="00773273">
            <w:pPr>
              <w:pStyle w:val="Odsekzoznamu"/>
              <w:numPr>
                <w:ilvl w:val="0"/>
                <w:numId w:val="4"/>
              </w:numPr>
              <w:ind w:left="606" w:right="85" w:hanging="357"/>
              <w:contextualSpacing w:val="0"/>
              <w:jc w:val="both"/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z prevádzkovania majetku nadobudnutého a/alebo zhodnoteného z poskytnutého príspevku plynú akékoľvek príjmy z ekonomickej činnosti, pričom na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>účely tejto činnosti sa prevádzkovateľ tohto majetku stáva zdaniteľnou osobou podľa § 3 zákona o DPH</w:t>
            </w:r>
            <w:r w:rsidRPr="00773273">
              <w:rPr>
                <w:rFonts w:asciiTheme="minorHAnsi" w:hAnsiTheme="minorHAnsi" w:cstheme="minorHAnsi"/>
                <w:szCs w:val="22"/>
                <w:vertAlign w:val="superscript"/>
              </w:rPr>
              <w:footnoteReference w:id="1"/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 w:eastAsia="en-US"/>
              </w:rPr>
              <w:t xml:space="preserve">. </w:t>
            </w:r>
          </w:p>
          <w:p w14:paraId="50649B5F" w14:textId="77777777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</w:p>
          <w:p w14:paraId="3EA97A42" w14:textId="25EB3785" w:rsidR="007A1D28" w:rsidRPr="009B0208" w:rsidRDefault="007A1D28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sz w:val="22"/>
                <w:szCs w:val="22"/>
                <w:lang w:val="sk-SK"/>
              </w:rPr>
            </w:pP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Výdavky, obstarávané dodávateľským spôsobom, na ktorých obstaranie sa vzťahujú pravidlá verejného obstarávania, musia byť obstarané v súlade so zákonom o</w:t>
            </w:r>
            <w:r w:rsidR="009A1FA7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verejnom obstarávaní a usmerneniami RO pre IROP k procesom verejného obstarávania.</w:t>
            </w:r>
          </w:p>
          <w:p w14:paraId="278BFA09" w14:textId="12B32608" w:rsidR="00D41226" w:rsidRPr="00D41226" w:rsidRDefault="001F08C9" w:rsidP="00773273">
            <w:pPr>
              <w:spacing w:before="60" w:after="60"/>
              <w:ind w:left="85" w:right="85"/>
              <w:jc w:val="both"/>
              <w:rPr>
                <w:rFonts w:asciiTheme="minorHAnsi" w:hAnsiTheme="minorHAnsi" w:cstheme="minorHAnsi"/>
                <w:b/>
                <w:bCs/>
                <w:lang w:val="sk-SK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je povinný zostaviť rozpočet projektu, pričom ako oprávnené výdavky si môže nárokovať len tie, ktoré spadajú do </w:t>
            </w:r>
            <w:r w:rsidR="00041EA6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nižšie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uvedené</w:t>
            </w:r>
            <w:r w:rsidR="00AB1C4D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ho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definičného rámca. </w:t>
            </w:r>
            <w:r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Žiadateľ</w:t>
            </w:r>
            <w:r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 xml:space="preserve"> </w:t>
            </w:r>
            <w:r w:rsidR="007A1D28" w:rsidRPr="009B0208">
              <w:rPr>
                <w:rFonts w:asciiTheme="minorHAnsi" w:hAnsiTheme="minorHAnsi" w:cstheme="minorHAnsi"/>
                <w:sz w:val="22"/>
                <w:szCs w:val="22"/>
                <w:lang w:val="sk-SK"/>
              </w:rPr>
              <w:t>v rozpočte projektu vecne odôvodní, že jeho výdavky spadajú do uvedeného rámca a tiež zdôvodní ich potrebu, resp. nevyhnutnosť pre úspešnú realizáciu projektu.</w:t>
            </w:r>
          </w:p>
        </w:tc>
      </w:tr>
    </w:tbl>
    <w:p w14:paraId="0047B796" w14:textId="77777777" w:rsidR="00F75369" w:rsidRDefault="00F75369" w:rsidP="00F75369">
      <w:pPr>
        <w:rPr>
          <w:rFonts w:asciiTheme="minorHAnsi" w:hAnsiTheme="minorHAnsi" w:cstheme="minorHAnsi"/>
          <w:i/>
          <w:highlight w:val="yellow"/>
        </w:rPr>
      </w:pPr>
    </w:p>
    <w:p w14:paraId="6492326F" w14:textId="77777777" w:rsidR="00F75369" w:rsidRDefault="00F75369" w:rsidP="00F75369">
      <w:pPr>
        <w:rPr>
          <w:rFonts w:asciiTheme="minorHAnsi" w:hAnsiTheme="minorHAnsi" w:cstheme="minorHAnsi"/>
          <w:i/>
          <w:highlight w:val="yellow"/>
        </w:rPr>
      </w:pPr>
    </w:p>
    <w:p w14:paraId="4981B439" w14:textId="5A5AB302" w:rsidR="00F75369" w:rsidRPr="00F75369" w:rsidRDefault="00F75369" w:rsidP="00F75369">
      <w:pPr>
        <w:rPr>
          <w:rFonts w:asciiTheme="minorHAnsi" w:hAnsiTheme="minorHAnsi" w:cstheme="minorHAnsi"/>
          <w:highlight w:val="yellow"/>
        </w:rPr>
        <w:sectPr w:rsidR="00F75369" w:rsidRPr="00F75369" w:rsidSect="00437D96">
          <w:headerReference w:type="first" r:id="rId8"/>
          <w:pgSz w:w="16838" w:h="11906" w:orient="landscape"/>
          <w:pgMar w:top="1417" w:right="1417" w:bottom="1417" w:left="1417" w:header="708" w:footer="708" w:gutter="0"/>
          <w:cols w:space="708"/>
          <w:titlePg/>
          <w:docGrid w:linePitch="360"/>
        </w:sectPr>
      </w:pPr>
    </w:p>
    <w:p w14:paraId="282D3E1A" w14:textId="51AF8E80" w:rsidR="00856D01" w:rsidRPr="009B0208" w:rsidRDefault="00856D01" w:rsidP="00856D01">
      <w:pPr>
        <w:rPr>
          <w:rFonts w:asciiTheme="minorHAnsi" w:hAnsiTheme="minorHAnsi" w:cstheme="minorHAnsi"/>
          <w:b/>
          <w:sz w:val="24"/>
        </w:rPr>
      </w:pPr>
    </w:p>
    <w:tbl>
      <w:tblPr>
        <w:tblStyle w:val="Deloittetable21"/>
        <w:tblW w:w="14710" w:type="dxa"/>
        <w:tblInd w:w="-398" w:type="dxa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single" w:sz="4" w:space="0" w:color="4F81BD"/>
          <w:insideV w:val="single" w:sz="4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5780"/>
        <w:gridCol w:w="8930"/>
      </w:tblGrid>
      <w:tr w:rsidR="00856D01" w:rsidRPr="009B0208" w14:paraId="1CB9A266" w14:textId="77777777" w:rsidTr="00E649C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6AB429EF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Špecifický cieľ 5.1.2 - Zlepšenie udržateľných vzťahov medzi vidieckymi rozvojovými centrami a ich zázemím vo verejných službách a vo verejných infraštruktúrach</w:t>
            </w:r>
          </w:p>
        </w:tc>
      </w:tr>
      <w:tr w:rsidR="00856D01" w:rsidRPr="009B0208" w14:paraId="15304405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1897DE1A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Rozvoj základnej infraštruktúry v oblastiach:</w:t>
            </w:r>
          </w:p>
        </w:tc>
      </w:tr>
      <w:tr w:rsidR="00856D01" w:rsidRPr="009B0208" w14:paraId="6FF250BC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77AE2C9C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B2. Zvyšovanie bezpečnosti a dostupnosti sídiel</w:t>
            </w:r>
          </w:p>
        </w:tc>
      </w:tr>
      <w:tr w:rsidR="00856D01" w:rsidRPr="009B0208" w14:paraId="32399B60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3E102413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Popis oprávnenej aktivity:</w:t>
            </w:r>
          </w:p>
          <w:p w14:paraId="0C44B669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výstavba, modernizácia, rekonštrukcia zastávok, staníc, parkovísk, na linkách prepájajúcich obec s mestom, súčasťou môžu byť :</w:t>
            </w:r>
          </w:p>
          <w:p w14:paraId="431694E3" w14:textId="77777777" w:rsidR="00856D01" w:rsidRPr="009B0208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vnútorné a/alebo vonkajšie informačné tabule,</w:t>
            </w:r>
          </w:p>
          <w:p w14:paraId="545AB1E3" w14:textId="77777777" w:rsidR="00856D01" w:rsidRPr="009B0208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stacionárne informačné systémy,</w:t>
            </w:r>
          </w:p>
          <w:p w14:paraId="6030D288" w14:textId="77777777" w:rsidR="00856D01" w:rsidRPr="009B0208" w:rsidRDefault="00856D01" w:rsidP="00856D01">
            <w:pPr>
              <w:pStyle w:val="Odsekzoznamu"/>
              <w:numPr>
                <w:ilvl w:val="0"/>
                <w:numId w:val="8"/>
              </w:numPr>
              <w:ind w:left="792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systémy pre privolanie pomoci v prípade núdze</w:t>
            </w:r>
          </w:p>
          <w:p w14:paraId="00308F2E" w14:textId="77777777" w:rsidR="00ED21AB" w:rsidRPr="009B0208" w:rsidRDefault="00ED21AB" w:rsidP="00ED21AB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• budovanie prvkov a podpora opatrení na zvyšovanie bezpečnosti dopravy v mestách ako:</w:t>
            </w:r>
          </w:p>
          <w:p w14:paraId="61F19766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 alebo rekonštrukcia nadchodov, podchodov,</w:t>
            </w:r>
          </w:p>
          <w:p w14:paraId="0C4A0D09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 alebo rekonštrukcia chodníkov,</w:t>
            </w:r>
          </w:p>
          <w:p w14:paraId="0FE2C021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odstraňovanie úzkych miest v doprave, </w:t>
            </w:r>
          </w:p>
          <w:p w14:paraId="08F16BC3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 xml:space="preserve">odstraňovanie bariér, </w:t>
            </w:r>
          </w:p>
          <w:p w14:paraId="30BFCD0A" w14:textId="77777777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prvkov na ochranu zraniteľných účastníkov dopravy - cyklisti, chodci,</w:t>
            </w:r>
          </w:p>
          <w:p w14:paraId="4929D11F" w14:textId="210CC3CC" w:rsidR="00ED21AB" w:rsidRPr="009B0208" w:rsidRDefault="00ED21AB" w:rsidP="00ED21AB">
            <w:pPr>
              <w:pStyle w:val="Odsekzoznamu"/>
              <w:numPr>
                <w:ilvl w:val="0"/>
                <w:numId w:val="8"/>
              </w:numPr>
              <w:ind w:left="508" w:firstLine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vodorovného a zvislého dopravného značenia vrátane svetelnej signalizácie,</w:t>
            </w:r>
          </w:p>
          <w:p w14:paraId="3667411C" w14:textId="79E5FEE2" w:rsidR="00ED21AB" w:rsidRPr="009B0208" w:rsidRDefault="00ED21AB" w:rsidP="00ED21AB">
            <w:pPr>
              <w:pStyle w:val="Odsekzoznamu"/>
              <w:ind w:left="508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budovanie, rekonštrukcia alebo modernizácia verejného osvetlenia v priamej nadväznosti na bezpečnosť dopravy a jej účastníkov,</w:t>
            </w:r>
          </w:p>
        </w:tc>
      </w:tr>
      <w:tr w:rsidR="00856D01" w:rsidRPr="009B0208" w14:paraId="190F2F22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710" w:type="dxa"/>
            <w:gridSpan w:val="2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E7E6E6" w:themeColor="background2"/>
              <w:right w:val="single" w:sz="4" w:space="0" w:color="9CC2E5" w:themeColor="accent1" w:themeTint="99"/>
            </w:tcBorders>
            <w:shd w:val="clear" w:color="auto" w:fill="4F81BD"/>
          </w:tcPr>
          <w:p w14:paraId="670A814C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Oprávnené výdavky</w:t>
            </w:r>
          </w:p>
        </w:tc>
      </w:tr>
      <w:tr w:rsidR="00856D01" w:rsidRPr="009B0208" w14:paraId="5F320FE2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E7E6E6" w:themeColor="background2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E7E6E6" w:themeColor="background2"/>
            </w:tcBorders>
            <w:shd w:val="clear" w:color="auto" w:fill="4F81BD"/>
          </w:tcPr>
          <w:p w14:paraId="768FDBC1" w14:textId="77777777" w:rsidR="00856D01" w:rsidRPr="009B0208" w:rsidRDefault="00856D01" w:rsidP="00437D96">
            <w:pPr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Skupina oprávnených výdavkov</w:t>
            </w:r>
          </w:p>
        </w:tc>
        <w:tc>
          <w:tcPr>
            <w:tcW w:w="8930" w:type="dxa"/>
            <w:tcBorders>
              <w:top w:val="single" w:sz="4" w:space="0" w:color="E7E6E6" w:themeColor="background2"/>
              <w:left w:val="single" w:sz="4" w:space="0" w:color="E7E6E6" w:themeColor="background2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4F81BD"/>
          </w:tcPr>
          <w:p w14:paraId="07EE61FE" w14:textId="77777777" w:rsidR="00856D01" w:rsidRPr="009B0208" w:rsidRDefault="00856D01" w:rsidP="00437D9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FFFF" w:themeColor="background1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FFFFFF" w:themeColor="background1"/>
                <w:lang w:val="sk-SK"/>
              </w:rPr>
              <w:t>Vecný popis výdavku</w:t>
            </w:r>
          </w:p>
        </w:tc>
      </w:tr>
      <w:tr w:rsidR="00856D01" w:rsidRPr="009B0208" w14:paraId="295E1BFD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1E983D4D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013 - Softvér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51747189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výdavky na obstaranie softvéru vrátane výdavkov na obstaranie licencií súvisiacich s používaním softvéru - napr. riadiaci softvér pre informačné systémy, elektronické informačné tabule a pod. </w:t>
            </w:r>
          </w:p>
          <w:p w14:paraId="10E1B796" w14:textId="77777777" w:rsidR="00B73919" w:rsidRPr="009B0208" w:rsidRDefault="00856D01" w:rsidP="00B73919">
            <w:pPr>
              <w:pStyle w:val="Default"/>
              <w:widowControl w:val="0"/>
              <w:numPr>
                <w:ilvl w:val="0"/>
                <w:numId w:val="6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modernizácia softvéru – napr. upgrade (pridávanie nových funkcionalít zhodnocujúcich softvér)</w:t>
            </w:r>
            <w:r w:rsidR="00B7391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pre informačné systémy, elektronické informačné tabule a pod.</w:t>
            </w:r>
          </w:p>
          <w:p w14:paraId="1EDECB42" w14:textId="77777777" w:rsidR="00B73919" w:rsidRPr="009B0208" w:rsidRDefault="00B73919" w:rsidP="005265E1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</w:p>
          <w:p w14:paraId="7B34884E" w14:textId="0D1653E5" w:rsidR="00856D01" w:rsidRPr="009B0208" w:rsidRDefault="00B73919" w:rsidP="005265E1">
            <w:pPr>
              <w:pStyle w:val="Default"/>
              <w:widowControl w:val="0"/>
              <w:ind w:left="72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b/>
                <w:color w:val="auto"/>
                <w:sz w:val="19"/>
                <w:szCs w:val="19"/>
                <w:lang w:val="sk-SK"/>
              </w:rPr>
              <w:t>Výdavky na softvér sú oprávnené len v kombinácii s oprávnenými výdavkami uvedenými aspoň v rámci jednej inej skupiny výdavkov pre túto oprávnenú aktivitu.</w:t>
            </w:r>
          </w:p>
        </w:tc>
      </w:tr>
      <w:tr w:rsidR="00856D01" w:rsidRPr="009B0208" w14:paraId="1F209958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3C78E08A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021 - Stavebné práce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044AE1D5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realizácia nových stavieb,</w:t>
            </w:r>
          </w:p>
          <w:p w14:paraId="47C657BC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rekonštrukcie, modernizácia a stavebno-technické úpravy existujúcej infraštruktúry</w:t>
            </w:r>
          </w:p>
        </w:tc>
      </w:tr>
      <w:tr w:rsidR="00856D01" w:rsidRPr="009B0208" w14:paraId="53B024C0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0A79AD6" w14:textId="2602898C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022 – Samostatné hnuteľné veci a súbory hnuteľných</w:t>
            </w:r>
            <w:r w:rsidR="00B97C29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vecí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 xml:space="preserve">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78EBE3B9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14:paraId="0C8C2433" w14:textId="2C9D247A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</w:t>
            </w:r>
            <w:r w:rsidR="00B46148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softvéru</w:t>
            </w:r>
          </w:p>
          <w:p w14:paraId="775572E5" w14:textId="77777777" w:rsidR="00B46148" w:rsidRPr="009B0208" w:rsidRDefault="00B46148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autobusové zastávky</w:t>
            </w:r>
          </w:p>
          <w:p w14:paraId="73574CE6" w14:textId="77777777" w:rsidR="00B46148" w:rsidRPr="009B0208" w:rsidRDefault="00B46148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parkovacie systémy</w:t>
            </w:r>
          </w:p>
          <w:p w14:paraId="2425A824" w14:textId="1E2939E1" w:rsidR="00ED21AB" w:rsidRPr="009B0208" w:rsidRDefault="00ED21AB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>dopravné značenie, svetelná signalizácia a pod. ak nie je súčasťou dodávky stavebných prác,</w:t>
            </w:r>
          </w:p>
        </w:tc>
      </w:tr>
      <w:tr w:rsidR="00856D01" w:rsidRPr="009B0208" w14:paraId="6C27214A" w14:textId="77777777" w:rsidTr="00E649C9">
        <w:trPr>
          <w:trHeight w:val="3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277EB204" w14:textId="77777777" w:rsidR="00856D01" w:rsidRPr="009B0208" w:rsidRDefault="00856D01" w:rsidP="00437D96">
            <w:pPr>
              <w:pStyle w:val="Default"/>
              <w:widowControl w:val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lastRenderedPageBreak/>
              <w:t>029  Ostatný dlhodobý hmotný  majetok vo výške obstarávacej ceny</w:t>
            </w:r>
          </w:p>
        </w:tc>
        <w:tc>
          <w:tcPr>
            <w:tcW w:w="8930" w:type="dxa"/>
            <w:tcBorders>
              <w:top w:val="single" w:sz="4" w:space="0" w:color="9CC2E5" w:themeColor="accent1" w:themeTint="99"/>
              <w:left w:val="single" w:sz="4" w:space="0" w:color="9CC2E5" w:themeColor="accent1" w:themeTint="99"/>
              <w:bottom w:val="single" w:sz="4" w:space="0" w:color="9CC2E5" w:themeColor="accent1" w:themeTint="99"/>
              <w:right w:val="single" w:sz="4" w:space="0" w:color="9CC2E5" w:themeColor="accent1" w:themeTint="99"/>
            </w:tcBorders>
            <w:shd w:val="clear" w:color="auto" w:fill="FFFFFF" w:themeFill="background1"/>
          </w:tcPr>
          <w:p w14:paraId="42801C3E" w14:textId="77777777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elektronické informačné tabule,</w:t>
            </w:r>
          </w:p>
          <w:p w14:paraId="6963163A" w14:textId="41335F6E" w:rsidR="00856D01" w:rsidRPr="009B0208" w:rsidRDefault="00856D01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ostatný hardware k</w:t>
            </w:r>
            <w:r w:rsidR="00ED21AB"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 </w:t>
            </w: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softvéru</w:t>
            </w:r>
          </w:p>
          <w:p w14:paraId="47C859BA" w14:textId="39487E77" w:rsidR="00ED21AB" w:rsidRPr="009B0208" w:rsidRDefault="00ED21AB" w:rsidP="00856D01">
            <w:pPr>
              <w:pStyle w:val="Default"/>
              <w:widowControl w:val="0"/>
              <w:numPr>
                <w:ilvl w:val="0"/>
                <w:numId w:val="5"/>
              </w:num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</w:pPr>
            <w:r w:rsidRPr="009B0208">
              <w:rPr>
                <w:rFonts w:asciiTheme="minorHAnsi" w:hAnsiTheme="minorHAnsi" w:cstheme="minorHAnsi"/>
                <w:color w:val="auto"/>
                <w:sz w:val="19"/>
                <w:szCs w:val="19"/>
                <w:lang w:val="sk-SK"/>
              </w:rPr>
              <w:t>dopravné značenie, svetelná signalizácia a pod. ak nie je súčasťou dodávky stavebných prác,</w:t>
            </w:r>
          </w:p>
        </w:tc>
      </w:tr>
    </w:tbl>
    <w:p w14:paraId="3435033A" w14:textId="77777777" w:rsidR="00856D01" w:rsidRPr="009B0208" w:rsidRDefault="00856D01" w:rsidP="00856D01">
      <w:pPr>
        <w:rPr>
          <w:rFonts w:asciiTheme="minorHAnsi" w:hAnsiTheme="minorHAnsi" w:cstheme="minorHAnsi"/>
          <w:b/>
          <w:sz w:val="24"/>
        </w:rPr>
      </w:pPr>
    </w:p>
    <w:p w14:paraId="45BDE793" w14:textId="0E742586" w:rsidR="00856D01" w:rsidRPr="00F75369" w:rsidRDefault="00856D01" w:rsidP="004B5802">
      <w:pPr>
        <w:rPr>
          <w:rFonts w:asciiTheme="minorHAnsi" w:hAnsiTheme="minorHAnsi" w:cstheme="minorHAnsi"/>
          <w:b/>
          <w:sz w:val="24"/>
        </w:rPr>
      </w:pPr>
    </w:p>
    <w:sectPr w:rsidR="00856D01" w:rsidRPr="00F75369" w:rsidSect="00114544">
      <w:headerReference w:type="first" r:id="rId9"/>
      <w:pgSz w:w="16838" w:h="11906" w:orient="landscape"/>
      <w:pgMar w:top="1418" w:right="1417" w:bottom="1276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757E66" w14:textId="77777777" w:rsidR="00F34FEA" w:rsidRDefault="00F34FEA" w:rsidP="007900C1">
      <w:r>
        <w:separator/>
      </w:r>
    </w:p>
  </w:endnote>
  <w:endnote w:type="continuationSeparator" w:id="0">
    <w:p w14:paraId="24F10D78" w14:textId="77777777" w:rsidR="00F34FEA" w:rsidRDefault="00F34FEA" w:rsidP="0079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8FBF0F" w14:textId="77777777" w:rsidR="00F34FEA" w:rsidRDefault="00F34FEA" w:rsidP="007900C1">
      <w:r>
        <w:separator/>
      </w:r>
    </w:p>
  </w:footnote>
  <w:footnote w:type="continuationSeparator" w:id="0">
    <w:p w14:paraId="4756C211" w14:textId="77777777" w:rsidR="00F34FEA" w:rsidRDefault="00F34FEA" w:rsidP="007900C1">
      <w:r>
        <w:continuationSeparator/>
      </w:r>
    </w:p>
  </w:footnote>
  <w:footnote w:id="1">
    <w:p w14:paraId="4B06EEC8" w14:textId="77777777" w:rsidR="00DB2968" w:rsidRDefault="00DB2968" w:rsidP="007A1D28">
      <w:pPr>
        <w:pStyle w:val="Textpoznmkypodiarou"/>
        <w:ind w:left="170" w:hanging="170"/>
        <w:jc w:val="both"/>
        <w:rPr>
          <w:rStyle w:val="Odkaznapoznmkupodiarou"/>
          <w:rFonts w:ascii="Arial Narrow" w:hAnsi="Arial Narrow"/>
          <w:szCs w:val="18"/>
        </w:rPr>
      </w:pPr>
      <w:r>
        <w:rPr>
          <w:rStyle w:val="Odkaznapoznmkupodiarou"/>
          <w:rFonts w:ascii="Arial Narrow" w:hAnsi="Arial Narrow"/>
          <w:szCs w:val="18"/>
        </w:rPr>
        <w:footnoteRef/>
      </w:r>
      <w:r>
        <w:rPr>
          <w:rStyle w:val="Odkaznapoznmkupodiarou"/>
          <w:rFonts w:ascii="Arial Narrow" w:hAnsi="Arial Narrow"/>
          <w:szCs w:val="18"/>
        </w:rPr>
        <w:t xml:space="preserve"> </w:t>
      </w:r>
      <w:r>
        <w:rPr>
          <w:rFonts w:ascii="Arial Narrow" w:hAnsi="Arial Narrow"/>
          <w:szCs w:val="18"/>
          <w:vertAlign w:val="subscript"/>
        </w:rPr>
        <w:tab/>
      </w:r>
      <w:r>
        <w:rPr>
          <w:rStyle w:val="Zvraznenie"/>
          <w:rFonts w:ascii="Arial Narrow" w:hAnsi="Arial Narrow"/>
          <w:bCs/>
          <w:szCs w:val="18"/>
          <w:shd w:val="clear" w:color="auto" w:fill="FFFFFF"/>
        </w:rPr>
        <w:t>Zákon</w:t>
      </w:r>
      <w:r>
        <w:rPr>
          <w:rStyle w:val="apple-converted-space"/>
          <w:rFonts w:ascii="Arial Narrow" w:hAnsi="Arial Narrow"/>
          <w:i/>
          <w:szCs w:val="18"/>
          <w:shd w:val="clear" w:color="auto" w:fill="FFFFFF"/>
        </w:rPr>
        <w:t> </w:t>
      </w:r>
      <w:r>
        <w:rPr>
          <w:rFonts w:ascii="Arial Narrow" w:hAnsi="Arial Narrow"/>
          <w:szCs w:val="18"/>
          <w:shd w:val="clear" w:color="auto" w:fill="FFFFFF"/>
        </w:rPr>
        <w:t>č. 222/2004 Z. z. o dani z pridanej hodnoty v znení neskorších predpisov.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BF6D1" w14:textId="50349E40" w:rsidR="00DB2968" w:rsidRDefault="00C13501" w:rsidP="00A03043">
    <w:pPr>
      <w:pStyle w:val="Hlavika"/>
      <w:rPr>
        <w:rFonts w:ascii="Arial Narrow" w:hAnsi="Arial Narrow"/>
        <w:sz w:val="20"/>
      </w:rPr>
    </w:pPr>
    <w:r>
      <w:rPr>
        <w:noProof/>
        <w:lang w:eastAsia="sk-SK"/>
      </w:rPr>
      <w:drawing>
        <wp:anchor distT="0" distB="0" distL="114300" distR="114300" simplePos="0" relativeHeight="251675648" behindDoc="1" locked="0" layoutInCell="1" allowOverlap="1" wp14:anchorId="0DA7D5BE" wp14:editId="6A2B2758">
          <wp:simplePos x="0" y="0"/>
          <wp:positionH relativeFrom="column">
            <wp:posOffset>3476625</wp:posOffset>
          </wp:positionH>
          <wp:positionV relativeFrom="paragraph">
            <wp:posOffset>8890</wp:posOffset>
          </wp:positionV>
          <wp:extent cx="1691005" cy="390525"/>
          <wp:effectExtent l="0" t="0" r="4445" b="9525"/>
          <wp:wrapTight wrapText="bothSides">
            <wp:wrapPolygon edited="0">
              <wp:start x="0" y="0"/>
              <wp:lineTo x="0" y="13698"/>
              <wp:lineTo x="2677" y="16859"/>
              <wp:lineTo x="2677" y="21073"/>
              <wp:lineTo x="15573" y="21073"/>
              <wp:lineTo x="16303" y="16859"/>
              <wp:lineTo x="21413" y="11590"/>
              <wp:lineTo x="21413" y="6322"/>
              <wp:lineTo x="11680" y="0"/>
              <wp:lineTo x="0" y="0"/>
            </wp:wrapPolygon>
          </wp:wrapTight>
          <wp:docPr id="15" name="Obrázok 15" descr="cid:image001.png@01D6F2FC.E4E93F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cid:image001.png@01D6F2FC.E4E93F2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00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B2968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1552" behindDoc="1" locked="0" layoutInCell="1" allowOverlap="1" wp14:anchorId="10187058" wp14:editId="106B90F7">
          <wp:simplePos x="0" y="0"/>
          <wp:positionH relativeFrom="column">
            <wp:posOffset>892720</wp:posOffset>
          </wp:positionH>
          <wp:positionV relativeFrom="paragraph">
            <wp:posOffset>-92075</wp:posOffset>
          </wp:positionV>
          <wp:extent cx="561975" cy="471170"/>
          <wp:effectExtent l="19050" t="0" r="9525" b="0"/>
          <wp:wrapTight wrapText="bothSides">
            <wp:wrapPolygon edited="0">
              <wp:start x="2197" y="0"/>
              <wp:lineTo x="3661" y="13973"/>
              <wp:lineTo x="-732" y="13973"/>
              <wp:lineTo x="-732" y="19213"/>
              <wp:lineTo x="5125" y="20960"/>
              <wp:lineTo x="16841" y="20960"/>
              <wp:lineTo x="21966" y="19213"/>
              <wp:lineTo x="21966" y="13973"/>
              <wp:lineTo x="18305" y="13973"/>
              <wp:lineTo x="20502" y="9606"/>
              <wp:lineTo x="19769" y="0"/>
              <wp:lineTo x="2197" y="0"/>
            </wp:wrapPolygon>
          </wp:wrapTight>
          <wp:docPr id="16" name="Obrázok 1" descr="logo IROP 2014-2020_verzia 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IROP 2014-2020_verzia 01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471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2968" w:rsidRPr="004C2F1F">
      <w:rPr>
        <w:rFonts w:ascii="Arial Narrow" w:hAnsi="Arial Narrow"/>
        <w:noProof/>
        <w:sz w:val="20"/>
        <w:lang w:eastAsia="sk-SK"/>
      </w:rPr>
      <w:drawing>
        <wp:anchor distT="0" distB="0" distL="114300" distR="114300" simplePos="0" relativeHeight="251673600" behindDoc="1" locked="0" layoutInCell="1" allowOverlap="1" wp14:anchorId="084B3746" wp14:editId="61191E2D">
          <wp:simplePos x="0" y="0"/>
          <wp:positionH relativeFrom="column">
            <wp:posOffset>6644253</wp:posOffset>
          </wp:positionH>
          <wp:positionV relativeFrom="paragraph">
            <wp:posOffset>-78105</wp:posOffset>
          </wp:positionV>
          <wp:extent cx="1638300" cy="457200"/>
          <wp:effectExtent l="0" t="0" r="0" b="0"/>
          <wp:wrapTight wrapText="bothSides">
            <wp:wrapPolygon edited="0">
              <wp:start x="0" y="0"/>
              <wp:lineTo x="0" y="20586"/>
              <wp:lineTo x="21341" y="20586"/>
              <wp:lineTo x="21341" y="0"/>
              <wp:lineTo x="0" y="0"/>
            </wp:wrapPolygon>
          </wp:wrapTight>
          <wp:docPr id="17" name="Obrázok 2" descr="http://www.euroregion-tatry.eu/_pliki/flaga_UE+unia_europejska_EFRR_z_lewej_SK%20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www.euroregion-tatry.eu/_pliki/flaga_UE+unia_europejska_EFRR_z_lewej_SK%20small.jpg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DB2968">
      <w:rPr>
        <w:rFonts w:ascii="Arial Narrow" w:hAnsi="Arial Narrow"/>
        <w:sz w:val="20"/>
      </w:rPr>
      <w:tab/>
    </w:r>
    <w:r w:rsidR="00DB2968">
      <w:rPr>
        <w:rFonts w:ascii="Arial Narrow" w:hAnsi="Arial Narrow"/>
        <w:sz w:val="20"/>
      </w:rPr>
      <w:tab/>
    </w:r>
  </w:p>
  <w:p w14:paraId="247DD192" w14:textId="77777777" w:rsidR="00DB2968" w:rsidRDefault="00DB2968" w:rsidP="00437D96">
    <w:pPr>
      <w:pStyle w:val="Hlavika"/>
      <w:tabs>
        <w:tab w:val="right" w:pos="14004"/>
      </w:tabs>
    </w:pPr>
  </w:p>
  <w:p w14:paraId="1630C36A" w14:textId="77777777" w:rsidR="00DB2968" w:rsidRDefault="00DB2968" w:rsidP="00437D96">
    <w:pPr>
      <w:pStyle w:val="Hlavika"/>
      <w:tabs>
        <w:tab w:val="right" w:pos="14004"/>
      </w:tabs>
    </w:pPr>
  </w:p>
  <w:p w14:paraId="3C318979" w14:textId="2D7152C9" w:rsidR="00DB2968" w:rsidRPr="001B5DCB" w:rsidRDefault="00DB2968" w:rsidP="00437D96">
    <w:pPr>
      <w:pStyle w:val="Hlavika"/>
      <w:tabs>
        <w:tab w:val="right" w:pos="14004"/>
      </w:tabs>
    </w:pPr>
    <w:r>
      <w:t xml:space="preserve">Príloha č. 2 výzvy - </w:t>
    </w:r>
    <w:r w:rsidRPr="001B5DCB">
      <w:t>Špecifikácia oprávnen</w:t>
    </w:r>
    <w:r>
      <w:t>ej</w:t>
    </w:r>
    <w:r w:rsidRPr="001B5DCB">
      <w:t xml:space="preserve"> aktiv</w:t>
    </w:r>
    <w:r>
      <w:t>i</w:t>
    </w:r>
    <w:r w:rsidRPr="001B5DCB">
      <w:t>t</w:t>
    </w:r>
    <w:r>
      <w:t>y</w:t>
    </w:r>
    <w:r w:rsidRPr="001B5DCB">
      <w:t xml:space="preserve"> a oprávnených výdavkov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36B95" w14:textId="77777777" w:rsidR="00DB2968" w:rsidRDefault="00DB2968" w:rsidP="00437D96">
    <w:pPr>
      <w:pStyle w:val="Hlavika"/>
      <w:tabs>
        <w:tab w:val="right" w:pos="14004"/>
      </w:tabs>
    </w:pPr>
  </w:p>
  <w:p w14:paraId="5282F9B6" w14:textId="77777777" w:rsidR="00DB2968" w:rsidRDefault="00DB2968" w:rsidP="00437D96">
    <w:pPr>
      <w:pStyle w:val="Hlavika"/>
      <w:tabs>
        <w:tab w:val="right" w:pos="14004"/>
      </w:tabs>
    </w:pPr>
  </w:p>
  <w:p w14:paraId="05B29902" w14:textId="5BFB732F" w:rsidR="00DB2968" w:rsidRPr="001B5DCB" w:rsidRDefault="00DB2968" w:rsidP="00437D96">
    <w:pPr>
      <w:pStyle w:val="Hlavika"/>
      <w:tabs>
        <w:tab w:val="right" w:pos="14004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D04D7"/>
    <w:multiLevelType w:val="hybridMultilevel"/>
    <w:tmpl w:val="AA7025D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35CE1"/>
    <w:multiLevelType w:val="hybridMultilevel"/>
    <w:tmpl w:val="EDBE3E6E"/>
    <w:lvl w:ilvl="0" w:tplc="041B0005">
      <w:start w:val="1"/>
      <w:numFmt w:val="bullet"/>
      <w:lvlText w:val=""/>
      <w:lvlJc w:val="left"/>
      <w:pPr>
        <w:ind w:left="462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182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1902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622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342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062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4782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502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222" w:hanging="360"/>
      </w:pPr>
      <w:rPr>
        <w:rFonts w:ascii="Wingdings" w:hAnsi="Wingdings" w:hint="default"/>
      </w:rPr>
    </w:lvl>
  </w:abstractNum>
  <w:abstractNum w:abstractNumId="2" w15:restartNumberingAfterBreak="0">
    <w:nsid w:val="1C00522C"/>
    <w:multiLevelType w:val="hybridMultilevel"/>
    <w:tmpl w:val="F528908C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B1A3C02"/>
    <w:multiLevelType w:val="hybridMultilevel"/>
    <w:tmpl w:val="152C90FE"/>
    <w:lvl w:ilvl="0" w:tplc="CDBEAC6C">
      <w:numFmt w:val="bullet"/>
      <w:lvlText w:val="•"/>
      <w:lvlJc w:val="left"/>
      <w:pPr>
        <w:ind w:left="578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36FD426E"/>
    <w:multiLevelType w:val="hybridMultilevel"/>
    <w:tmpl w:val="954AE136"/>
    <w:lvl w:ilvl="0" w:tplc="D2EA1540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4B64CA"/>
    <w:multiLevelType w:val="hybridMultilevel"/>
    <w:tmpl w:val="C6C275E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13754F"/>
    <w:multiLevelType w:val="hybridMultilevel"/>
    <w:tmpl w:val="3DB6E6C4"/>
    <w:lvl w:ilvl="0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65DA2B37"/>
    <w:multiLevelType w:val="hybridMultilevel"/>
    <w:tmpl w:val="CE5E8FFA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144DC42"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294880"/>
    <w:multiLevelType w:val="hybridMultilevel"/>
    <w:tmpl w:val="17EE5060"/>
    <w:lvl w:ilvl="0" w:tplc="02CA6F5C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  <w:sz w:val="24"/>
        <w:szCs w:val="24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2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996"/>
    <w:rsid w:val="000309C2"/>
    <w:rsid w:val="00041EA6"/>
    <w:rsid w:val="00045BF4"/>
    <w:rsid w:val="00050852"/>
    <w:rsid w:val="00051444"/>
    <w:rsid w:val="00052740"/>
    <w:rsid w:val="00065996"/>
    <w:rsid w:val="000867AB"/>
    <w:rsid w:val="0009378B"/>
    <w:rsid w:val="000950EA"/>
    <w:rsid w:val="000A5B92"/>
    <w:rsid w:val="000B25BD"/>
    <w:rsid w:val="000B4F5E"/>
    <w:rsid w:val="000E52FF"/>
    <w:rsid w:val="00106314"/>
    <w:rsid w:val="001118C7"/>
    <w:rsid w:val="00113C2C"/>
    <w:rsid w:val="00114544"/>
    <w:rsid w:val="001334FC"/>
    <w:rsid w:val="001663AC"/>
    <w:rsid w:val="001770B0"/>
    <w:rsid w:val="001A66A4"/>
    <w:rsid w:val="001B4D56"/>
    <w:rsid w:val="001C297B"/>
    <w:rsid w:val="001F08C9"/>
    <w:rsid w:val="00203C57"/>
    <w:rsid w:val="00222486"/>
    <w:rsid w:val="00224D63"/>
    <w:rsid w:val="00227395"/>
    <w:rsid w:val="00230896"/>
    <w:rsid w:val="00256CA0"/>
    <w:rsid w:val="00273E3B"/>
    <w:rsid w:val="00286B67"/>
    <w:rsid w:val="00290A29"/>
    <w:rsid w:val="002A4B1F"/>
    <w:rsid w:val="002B76C5"/>
    <w:rsid w:val="002D45AB"/>
    <w:rsid w:val="002F25E6"/>
    <w:rsid w:val="00301FE1"/>
    <w:rsid w:val="00350521"/>
    <w:rsid w:val="00355300"/>
    <w:rsid w:val="003555ED"/>
    <w:rsid w:val="003850A7"/>
    <w:rsid w:val="00397BDA"/>
    <w:rsid w:val="003A78DE"/>
    <w:rsid w:val="003D61B8"/>
    <w:rsid w:val="003E0C5A"/>
    <w:rsid w:val="003F6B8D"/>
    <w:rsid w:val="003F72C1"/>
    <w:rsid w:val="00420279"/>
    <w:rsid w:val="004234C1"/>
    <w:rsid w:val="00437D96"/>
    <w:rsid w:val="00450EE2"/>
    <w:rsid w:val="00455F27"/>
    <w:rsid w:val="004A07A8"/>
    <w:rsid w:val="004A17A5"/>
    <w:rsid w:val="004A704B"/>
    <w:rsid w:val="004B5802"/>
    <w:rsid w:val="004B763F"/>
    <w:rsid w:val="004B7E79"/>
    <w:rsid w:val="004C49AD"/>
    <w:rsid w:val="00506ED7"/>
    <w:rsid w:val="00507295"/>
    <w:rsid w:val="005265E1"/>
    <w:rsid w:val="00545CDC"/>
    <w:rsid w:val="005A67D1"/>
    <w:rsid w:val="005A7193"/>
    <w:rsid w:val="005E412A"/>
    <w:rsid w:val="0067066E"/>
    <w:rsid w:val="006A7789"/>
    <w:rsid w:val="006B3BFB"/>
    <w:rsid w:val="006C0D2C"/>
    <w:rsid w:val="006E0BA1"/>
    <w:rsid w:val="006E2C53"/>
    <w:rsid w:val="006F416A"/>
    <w:rsid w:val="00707EA7"/>
    <w:rsid w:val="007178B7"/>
    <w:rsid w:val="00722D6C"/>
    <w:rsid w:val="00727895"/>
    <w:rsid w:val="00732593"/>
    <w:rsid w:val="00764AC3"/>
    <w:rsid w:val="007723AE"/>
    <w:rsid w:val="00773273"/>
    <w:rsid w:val="007900C1"/>
    <w:rsid w:val="00791038"/>
    <w:rsid w:val="00796060"/>
    <w:rsid w:val="007A1D28"/>
    <w:rsid w:val="007C283F"/>
    <w:rsid w:val="007F0433"/>
    <w:rsid w:val="00830686"/>
    <w:rsid w:val="00844064"/>
    <w:rsid w:val="008563D7"/>
    <w:rsid w:val="00856D01"/>
    <w:rsid w:val="008756EC"/>
    <w:rsid w:val="00880DAE"/>
    <w:rsid w:val="00884FC7"/>
    <w:rsid w:val="00895F57"/>
    <w:rsid w:val="008B334B"/>
    <w:rsid w:val="008C0C85"/>
    <w:rsid w:val="008C5CA8"/>
    <w:rsid w:val="008F6D92"/>
    <w:rsid w:val="00910377"/>
    <w:rsid w:val="009248E7"/>
    <w:rsid w:val="00924CB1"/>
    <w:rsid w:val="00937035"/>
    <w:rsid w:val="009662B4"/>
    <w:rsid w:val="009670EF"/>
    <w:rsid w:val="00985014"/>
    <w:rsid w:val="00991D6C"/>
    <w:rsid w:val="009A1FA7"/>
    <w:rsid w:val="009A5787"/>
    <w:rsid w:val="009B0208"/>
    <w:rsid w:val="009D7016"/>
    <w:rsid w:val="009D7623"/>
    <w:rsid w:val="00A03043"/>
    <w:rsid w:val="00A0441A"/>
    <w:rsid w:val="00A47C5B"/>
    <w:rsid w:val="00A76425"/>
    <w:rsid w:val="00A83493"/>
    <w:rsid w:val="00AA6EEC"/>
    <w:rsid w:val="00AB1C4D"/>
    <w:rsid w:val="00AD3328"/>
    <w:rsid w:val="00AD3F6A"/>
    <w:rsid w:val="00B0092A"/>
    <w:rsid w:val="00B24ED0"/>
    <w:rsid w:val="00B46148"/>
    <w:rsid w:val="00B505EC"/>
    <w:rsid w:val="00B73919"/>
    <w:rsid w:val="00B7415C"/>
    <w:rsid w:val="00B97C29"/>
    <w:rsid w:val="00BA25DC"/>
    <w:rsid w:val="00BF58E3"/>
    <w:rsid w:val="00BF6595"/>
    <w:rsid w:val="00C13501"/>
    <w:rsid w:val="00C76471"/>
    <w:rsid w:val="00CA63CB"/>
    <w:rsid w:val="00CB1901"/>
    <w:rsid w:val="00CC2386"/>
    <w:rsid w:val="00CC5DB8"/>
    <w:rsid w:val="00CC636B"/>
    <w:rsid w:val="00CD4576"/>
    <w:rsid w:val="00D26431"/>
    <w:rsid w:val="00D27547"/>
    <w:rsid w:val="00D30727"/>
    <w:rsid w:val="00D41226"/>
    <w:rsid w:val="00D4450F"/>
    <w:rsid w:val="00D75D33"/>
    <w:rsid w:val="00D76D93"/>
    <w:rsid w:val="00D80A8E"/>
    <w:rsid w:val="00D91118"/>
    <w:rsid w:val="00DA2CDD"/>
    <w:rsid w:val="00DA2EC4"/>
    <w:rsid w:val="00DB2968"/>
    <w:rsid w:val="00DD6BA2"/>
    <w:rsid w:val="00E10467"/>
    <w:rsid w:val="00E20668"/>
    <w:rsid w:val="00E25773"/>
    <w:rsid w:val="00E54884"/>
    <w:rsid w:val="00E649C9"/>
    <w:rsid w:val="00E64C0E"/>
    <w:rsid w:val="00E70395"/>
    <w:rsid w:val="00ED21AB"/>
    <w:rsid w:val="00F050EA"/>
    <w:rsid w:val="00F22F0E"/>
    <w:rsid w:val="00F246B5"/>
    <w:rsid w:val="00F34FEA"/>
    <w:rsid w:val="00F47BA6"/>
    <w:rsid w:val="00F64483"/>
    <w:rsid w:val="00F64E2F"/>
    <w:rsid w:val="00F64F65"/>
    <w:rsid w:val="00F75369"/>
    <w:rsid w:val="00FA1257"/>
    <w:rsid w:val="00FC4269"/>
    <w:rsid w:val="00FD5564"/>
    <w:rsid w:val="00FF5E6E"/>
    <w:rsid w:val="00FF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D511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7900C1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ta">
    <w:name w:val="footer"/>
    <w:basedOn w:val="Normlny"/>
    <w:link w:val="PtaChar"/>
    <w:uiPriority w:val="99"/>
    <w:rsid w:val="007900C1"/>
    <w:pPr>
      <w:tabs>
        <w:tab w:val="right" w:pos="8222"/>
      </w:tabs>
    </w:pPr>
    <w:rPr>
      <w:sz w:val="18"/>
    </w:rPr>
  </w:style>
  <w:style w:type="character" w:customStyle="1" w:styleId="PtaChar">
    <w:name w:val="Päta Char"/>
    <w:basedOn w:val="Predvolenpsmoodseku"/>
    <w:link w:val="Pta"/>
    <w:uiPriority w:val="99"/>
    <w:rsid w:val="007900C1"/>
    <w:rPr>
      <w:rFonts w:ascii="Times New Roman" w:eastAsia="Times New Roman" w:hAnsi="Times New Roman" w:cs="Times New Roman"/>
      <w:sz w:val="18"/>
      <w:szCs w:val="20"/>
    </w:rPr>
  </w:style>
  <w:style w:type="paragraph" w:styleId="Hlavika">
    <w:name w:val="header"/>
    <w:basedOn w:val="Normlny"/>
    <w:link w:val="HlavikaChar"/>
    <w:uiPriority w:val="99"/>
    <w:rsid w:val="007900C1"/>
    <w:pPr>
      <w:spacing w:line="220" w:lineRule="atLeast"/>
      <w:jc w:val="right"/>
    </w:pPr>
    <w:rPr>
      <w:i/>
      <w:sz w:val="18"/>
    </w:rPr>
  </w:style>
  <w:style w:type="character" w:customStyle="1" w:styleId="HlavikaChar">
    <w:name w:val="Hlavička Char"/>
    <w:basedOn w:val="Predvolenpsmoodseku"/>
    <w:link w:val="Hlavika"/>
    <w:uiPriority w:val="99"/>
    <w:rsid w:val="007900C1"/>
    <w:rPr>
      <w:rFonts w:ascii="Times New Roman" w:eastAsia="Times New Roman" w:hAnsi="Times New Roman" w:cs="Times New Roman"/>
      <w:i/>
      <w:sz w:val="18"/>
      <w:szCs w:val="20"/>
    </w:rPr>
  </w:style>
  <w:style w:type="paragraph" w:styleId="Textpoznmkypodiarou">
    <w:name w:val="footnote text"/>
    <w:aliases w:val="Text poznámky pod čiarou 007,Text poznámky pod eiarou 007,_Poznámka pod čiarou,Text poznámky pod èiarou 007,Stinking Styles2,Tekst przypisu- dokt,Char Char Char Char Char Char Char Char Char Char Char,Char Char Ch,o,Car,Char4"/>
    <w:basedOn w:val="Normlny"/>
    <w:link w:val="TextpoznmkypodiarouChar"/>
    <w:uiPriority w:val="99"/>
    <w:semiHidden/>
    <w:rsid w:val="007900C1"/>
    <w:rPr>
      <w:sz w:val="18"/>
    </w:rPr>
  </w:style>
  <w:style w:type="character" w:customStyle="1" w:styleId="TextpoznmkypodiarouChar">
    <w:name w:val="Text poznámky pod čiarou Char"/>
    <w:aliases w:val="Text poznámky pod čiarou 007 Char,Text poznámky pod eiarou 007 Char,_Poznámka pod čiarou Char,Text poznámky pod èiarou 007 Char,Stinking Styles2 Char,Tekst przypisu- dokt Char,Char Char Ch Char,o Char,Car Char,Char4 Char"/>
    <w:basedOn w:val="Predvolenpsmoodseku"/>
    <w:link w:val="Textpoznmkypodiarou"/>
    <w:uiPriority w:val="99"/>
    <w:semiHidden/>
    <w:rsid w:val="007900C1"/>
    <w:rPr>
      <w:rFonts w:ascii="Times New Roman" w:eastAsia="Times New Roman" w:hAnsi="Times New Roman" w:cs="Times New Roman"/>
      <w:sz w:val="18"/>
      <w:szCs w:val="20"/>
    </w:rPr>
  </w:style>
  <w:style w:type="character" w:styleId="slostrany">
    <w:name w:val="page number"/>
    <w:basedOn w:val="Predvolenpsmoodseku"/>
    <w:semiHidden/>
    <w:rsid w:val="007900C1"/>
    <w:rPr>
      <w:sz w:val="22"/>
    </w:rPr>
  </w:style>
  <w:style w:type="paragraph" w:styleId="Odsekzoznamu">
    <w:name w:val="List Paragraph"/>
    <w:aliases w:val="body,Odsek zoznamu2,List Paragraph,Listenabsatz"/>
    <w:basedOn w:val="Normlny"/>
    <w:link w:val="OdsekzoznamuChar"/>
    <w:uiPriority w:val="34"/>
    <w:qFormat/>
    <w:rsid w:val="007900C1"/>
    <w:pPr>
      <w:ind w:left="720"/>
      <w:contextualSpacing/>
    </w:pPr>
  </w:style>
  <w:style w:type="character" w:styleId="Odkaznakomentr">
    <w:name w:val="annotation reference"/>
    <w:basedOn w:val="Predvolenpsmoodseku"/>
    <w:uiPriority w:val="99"/>
    <w:semiHidden/>
    <w:unhideWhenUsed/>
    <w:rsid w:val="007900C1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900C1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900C1"/>
    <w:rPr>
      <w:rFonts w:ascii="Times New Roman" w:eastAsia="Times New Roman" w:hAnsi="Times New Roman" w:cs="Times New Roman"/>
      <w:sz w:val="20"/>
      <w:szCs w:val="20"/>
    </w:rPr>
  </w:style>
  <w:style w:type="table" w:styleId="Mriekatabuky">
    <w:name w:val="Table Grid"/>
    <w:basedOn w:val="Normlnatabuka"/>
    <w:uiPriority w:val="59"/>
    <w:rsid w:val="007900C1"/>
    <w:pPr>
      <w:spacing w:after="0" w:line="240" w:lineRule="auto"/>
    </w:pPr>
    <w:rPr>
      <w:rFonts w:ascii="Tms Rmn" w:eastAsia="Times New Roman" w:hAnsi="Tms Rmn" w:cs="Times New Roman"/>
      <w:sz w:val="20"/>
      <w:szCs w:val="20"/>
      <w:lang w:val="en-AU"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poznmkupodiarou">
    <w:name w:val="footnote reference"/>
    <w:aliases w:val="Footnote symbol,Footnote,Stinking Styles1,Footnote reference number,Times 10 Point,Exposant 3 Point,Ref,de nota al pie,note TESI,SUPERS,EN Footnote text,EN Footnote Refe,FRef ISO,PGI Fußnote Ziffer,Footnotes refss,ftref"/>
    <w:uiPriority w:val="99"/>
    <w:semiHidden/>
    <w:rsid w:val="007900C1"/>
    <w:rPr>
      <w:rFonts w:cs="Times New Roman"/>
      <w:vertAlign w:val="superscript"/>
    </w:rPr>
  </w:style>
  <w:style w:type="character" w:customStyle="1" w:styleId="OdsekzoznamuChar">
    <w:name w:val="Odsek zoznamu Char"/>
    <w:aliases w:val="body Char,Odsek zoznamu2 Char,List Paragraph Char,Listenabsatz Char"/>
    <w:link w:val="Odsekzoznamu"/>
    <w:uiPriority w:val="34"/>
    <w:locked/>
    <w:rsid w:val="007900C1"/>
    <w:rPr>
      <w:rFonts w:ascii="Times New Roman" w:eastAsia="Times New Roman" w:hAnsi="Times New Roman" w:cs="Times New Roman"/>
      <w:szCs w:val="20"/>
    </w:rPr>
  </w:style>
  <w:style w:type="character" w:styleId="Zstupntext">
    <w:name w:val="Placeholder Text"/>
    <w:basedOn w:val="Predvolenpsmoodseku"/>
    <w:uiPriority w:val="99"/>
    <w:semiHidden/>
    <w:rsid w:val="007900C1"/>
    <w:rPr>
      <w:color w:val="80808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991D6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991D6C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Revzia">
    <w:name w:val="Revision"/>
    <w:hidden/>
    <w:uiPriority w:val="99"/>
    <w:semiHidden/>
    <w:rsid w:val="00991D6C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91D6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91D6C"/>
    <w:rPr>
      <w:rFonts w:ascii="Segoe UI" w:eastAsia="Times New Roman" w:hAnsi="Segoe UI" w:cs="Segoe U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9D7016"/>
    <w:rPr>
      <w:rFonts w:ascii="Calibri" w:eastAsia="Times New Roman" w:hAnsi="Calibri"/>
      <w:sz w:val="20"/>
      <w:szCs w:val="20"/>
      <w:lang w:eastAsia="sk-SK"/>
    </w:rPr>
  </w:style>
  <w:style w:type="paragraph" w:styleId="Bezriadkovania">
    <w:name w:val="No Spacing"/>
    <w:link w:val="BezriadkovaniaChar"/>
    <w:uiPriority w:val="1"/>
    <w:qFormat/>
    <w:rsid w:val="009D7016"/>
    <w:pPr>
      <w:spacing w:after="0" w:line="240" w:lineRule="auto"/>
    </w:pPr>
    <w:rPr>
      <w:rFonts w:ascii="Calibri" w:eastAsia="Times New Roman" w:hAnsi="Calibri"/>
      <w:sz w:val="20"/>
      <w:szCs w:val="20"/>
      <w:lang w:eastAsia="sk-SK"/>
    </w:rPr>
  </w:style>
  <w:style w:type="character" w:customStyle="1" w:styleId="apple-converted-space">
    <w:name w:val="apple-converted-space"/>
    <w:basedOn w:val="Predvolenpsmoodseku"/>
    <w:rsid w:val="009D7016"/>
  </w:style>
  <w:style w:type="character" w:styleId="Zvraznenie">
    <w:name w:val="Emphasis"/>
    <w:basedOn w:val="Predvolenpsmoodseku"/>
    <w:uiPriority w:val="20"/>
    <w:qFormat/>
    <w:rsid w:val="009D7016"/>
    <w:rPr>
      <w:i/>
      <w:iCs/>
    </w:rPr>
  </w:style>
  <w:style w:type="paragraph" w:customStyle="1" w:styleId="Default">
    <w:name w:val="Default"/>
    <w:rsid w:val="00D80A8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customStyle="1" w:styleId="Deloittetable21">
    <w:name w:val="Deloitte table 21"/>
    <w:basedOn w:val="Normlnatabuka"/>
    <w:rsid w:val="00D80A8E"/>
    <w:pPr>
      <w:spacing w:after="0" w:line="240" w:lineRule="auto"/>
    </w:pPr>
    <w:rPr>
      <w:rFonts w:ascii="Arial" w:eastAsia="Times New Roman" w:hAnsi="Arial" w:cs="Times New Roman"/>
      <w:sz w:val="19"/>
      <w:szCs w:val="20"/>
      <w:lang w:val="en-US"/>
    </w:rPr>
    <w:tblPr>
      <w:tblBorders>
        <w:bottom w:val="single" w:sz="4" w:space="0" w:color="00A1DE"/>
        <w:insideH w:val="single" w:sz="4" w:space="0" w:color="00A1DE"/>
      </w:tblBorders>
      <w:tblCellMar>
        <w:top w:w="28" w:type="dxa"/>
        <w:left w:w="28" w:type="dxa"/>
        <w:bottom w:w="28" w:type="dxa"/>
        <w:right w:w="28" w:type="dxa"/>
      </w:tblCellMar>
    </w:tblPr>
    <w:tcPr>
      <w:shd w:val="clear" w:color="auto" w:fill="FFFFFF"/>
    </w:tcPr>
    <w:tblStylePr w:type="firstRow">
      <w:rPr>
        <w:rFonts w:ascii="Arial" w:hAnsi="Arial" w:cs="Arial" w:hint="default"/>
        <w:b/>
        <w:color w:val="FFFFFF"/>
        <w:sz w:val="19"/>
        <w:szCs w:val="19"/>
      </w:rPr>
      <w:tblPr/>
      <w:tcPr>
        <w:shd w:val="clear" w:color="auto" w:fill="00A1DE"/>
      </w:tcPr>
    </w:tblStylePr>
    <w:tblStylePr w:type="firstCol">
      <w:rPr>
        <w:rFonts w:ascii="Arial" w:hAnsi="Arial" w:cs="Arial" w:hint="default"/>
        <w:sz w:val="19"/>
        <w:szCs w:val="19"/>
      </w:rPr>
    </w:tblStylePr>
  </w:style>
  <w:style w:type="paragraph" w:styleId="Normlnywebov">
    <w:name w:val="Normal (Web)"/>
    <w:basedOn w:val="Normlny"/>
    <w:uiPriority w:val="99"/>
    <w:semiHidden/>
    <w:unhideWhenUsed/>
    <w:rsid w:val="00F64E2F"/>
    <w:pPr>
      <w:spacing w:before="100" w:beforeAutospacing="1" w:after="100" w:afterAutospacing="1"/>
    </w:pPr>
    <w:rPr>
      <w:sz w:val="24"/>
      <w:szCs w:val="24"/>
      <w:lang w:eastAsia="sk-SK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F47BA6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F47BA6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1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8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image" Target="cid:image001.png@01D6F2FC.E4E93F20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E66E2F-E086-40A6-A785-716B4236E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3076</Characters>
  <Application>Microsoft Office Word</Application>
  <DocSecurity>0</DocSecurity>
  <Lines>25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2021-04-23T07:17:00Z</dcterms:created>
  <dcterms:modified xsi:type="dcterms:W3CDTF">2021-05-29T10:12:00Z</dcterms:modified>
</cp:coreProperties>
</file>